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DA" w:rsidRPr="002E47DA" w:rsidRDefault="002E47DA" w:rsidP="002E47DA">
      <w:pPr>
        <w:jc w:val="center"/>
        <w:rPr>
          <w:b/>
          <w:sz w:val="28"/>
          <w:szCs w:val="28"/>
        </w:rPr>
      </w:pPr>
      <w:r w:rsidRPr="002E47DA">
        <w:rPr>
          <w:b/>
          <w:sz w:val="28"/>
          <w:szCs w:val="28"/>
        </w:rPr>
        <w:t>Standards Attained by Pupils Attending Holy Family School</w:t>
      </w:r>
    </w:p>
    <w:p w:rsidR="002E47DA" w:rsidRDefault="002E47DA"/>
    <w:p w:rsidR="004D5C2E" w:rsidRDefault="004D5C2E">
      <w:r>
        <w:t>Ofsted recognised the high standards maintained at Holy Family School stating:</w:t>
      </w:r>
    </w:p>
    <w:p w:rsidR="004D5C2E" w:rsidRDefault="004D5C2E"/>
    <w:p w:rsidR="004D5C2E" w:rsidRPr="004D5C2E" w:rsidRDefault="004D5C2E" w:rsidP="004D5C2E">
      <w:pPr>
        <w:autoSpaceDE w:val="0"/>
        <w:autoSpaceDN w:val="0"/>
        <w:adjustRightInd w:val="0"/>
        <w:spacing w:line="240" w:lineRule="auto"/>
        <w:rPr>
          <w:rFonts w:cs="Tahoma"/>
        </w:rPr>
      </w:pPr>
      <w:r>
        <w:tab/>
      </w:r>
      <w:r>
        <w:rPr>
          <w:i/>
        </w:rPr>
        <w:t>‘</w:t>
      </w:r>
      <w:r w:rsidRPr="004D5C2E">
        <w:rPr>
          <w:rFonts w:cs="Tahoma"/>
        </w:rPr>
        <w:t>The proportion of pupils attaining the expected standard in reading, writing and</w:t>
      </w:r>
    </w:p>
    <w:p w:rsidR="004D5C2E" w:rsidRPr="004D5C2E" w:rsidRDefault="00004703" w:rsidP="004D5C2E">
      <w:pPr>
        <w:autoSpaceDE w:val="0"/>
        <w:autoSpaceDN w:val="0"/>
        <w:adjustRightInd w:val="0"/>
        <w:spacing w:line="240" w:lineRule="auto"/>
        <w:ind w:firstLine="720"/>
        <w:rPr>
          <w:rFonts w:cs="Tahoma"/>
        </w:rPr>
      </w:pPr>
      <w:r>
        <w:rPr>
          <w:rFonts w:cs="Tahoma"/>
        </w:rPr>
        <w:t xml:space="preserve">  </w:t>
      </w:r>
      <w:proofErr w:type="gramStart"/>
      <w:r w:rsidR="004D5C2E" w:rsidRPr="004D5C2E">
        <w:rPr>
          <w:rFonts w:cs="Tahoma"/>
        </w:rPr>
        <w:t>mathematics</w:t>
      </w:r>
      <w:proofErr w:type="gramEnd"/>
      <w:r w:rsidR="004D5C2E" w:rsidRPr="004D5C2E">
        <w:rPr>
          <w:rFonts w:cs="Tahoma"/>
        </w:rPr>
        <w:t xml:space="preserve"> at the end of key stage 2, was well above the national average between</w:t>
      </w:r>
    </w:p>
    <w:p w:rsidR="004D5C2E" w:rsidRDefault="00004703" w:rsidP="004D5C2E">
      <w:pPr>
        <w:ind w:firstLine="720"/>
        <w:rPr>
          <w:rFonts w:cs="Tahoma"/>
        </w:rPr>
      </w:pPr>
      <w:r>
        <w:rPr>
          <w:rFonts w:cs="Tahoma"/>
        </w:rPr>
        <w:t xml:space="preserve">  </w:t>
      </w:r>
      <w:proofErr w:type="gramStart"/>
      <w:r w:rsidR="004D5C2E" w:rsidRPr="004D5C2E">
        <w:rPr>
          <w:rFonts w:cs="Tahoma"/>
        </w:rPr>
        <w:t>2016 and 2018.</w:t>
      </w:r>
      <w:proofErr w:type="gramEnd"/>
      <w:r w:rsidR="004D5C2E" w:rsidRPr="004D5C2E">
        <w:rPr>
          <w:rFonts w:cs="Tahoma"/>
        </w:rPr>
        <w:t xml:space="preserve"> The proportion attaining the higher standard was also above average.</w:t>
      </w:r>
      <w:r w:rsidR="004D5C2E">
        <w:rPr>
          <w:rFonts w:cs="Tahoma"/>
        </w:rPr>
        <w:t>’</w:t>
      </w:r>
    </w:p>
    <w:p w:rsidR="004D5C2E" w:rsidRDefault="004D5C2E" w:rsidP="004D5C2E">
      <w:pPr>
        <w:ind w:firstLine="720"/>
        <w:rPr>
          <w:rFonts w:cs="Tahoma"/>
        </w:rPr>
      </w:pPr>
    </w:p>
    <w:p w:rsidR="004D5C2E" w:rsidRPr="0026526C" w:rsidRDefault="0026526C" w:rsidP="004D5C2E">
      <w:pPr>
        <w:rPr>
          <w:rFonts w:cs="Tahoma"/>
          <w:b/>
          <w:u w:val="single"/>
        </w:rPr>
      </w:pPr>
      <w:r>
        <w:rPr>
          <w:rFonts w:cs="Tahoma"/>
          <w:b/>
          <w:u w:val="single"/>
        </w:rPr>
        <w:t>Early Years Profile</w:t>
      </w:r>
    </w:p>
    <w:p w:rsidR="00C117C9" w:rsidRDefault="00C117C9" w:rsidP="004D5C2E">
      <w:pPr>
        <w:rPr>
          <w:rFonts w:cs="Tahoma"/>
        </w:rPr>
      </w:pPr>
      <w:r>
        <w:rPr>
          <w:rFonts w:cs="Tahoma"/>
        </w:rPr>
        <w:t xml:space="preserve">At the end of Foundation Stage (Reception Class) children are assessed against 17 areas of learning. Children are judged to be attaining a ‘Good Level of Development’ if they achieve at the expected standard in the Prime Areas of Learning: Personal, Social and Emotional Development, Communication and Language and Physical Development, and the Specific Areas of </w:t>
      </w:r>
      <w:r w:rsidR="003A2860">
        <w:rPr>
          <w:rFonts w:cs="Tahoma"/>
        </w:rPr>
        <w:t xml:space="preserve">Learning: </w:t>
      </w:r>
      <w:r>
        <w:rPr>
          <w:rFonts w:cs="Tahoma"/>
        </w:rPr>
        <w:t xml:space="preserve">Literacy (Reading and Writing) </w:t>
      </w:r>
      <w:r w:rsidR="00031DF2">
        <w:rPr>
          <w:rFonts w:cs="Tahoma"/>
        </w:rPr>
        <w:t>and Mathematical Development. The percentage attained by Holy Family children are as follows:</w:t>
      </w:r>
    </w:p>
    <w:p w:rsidR="00031DF2" w:rsidRDefault="00031DF2" w:rsidP="004D5C2E">
      <w:pPr>
        <w:rPr>
          <w:rFonts w:cs="Tahoma"/>
        </w:rPr>
      </w:pPr>
    </w:p>
    <w:tbl>
      <w:tblPr>
        <w:tblW w:w="9187" w:type="dxa"/>
        <w:tblInd w:w="103" w:type="dxa"/>
        <w:tblLook w:val="0000"/>
      </w:tblPr>
      <w:tblGrid>
        <w:gridCol w:w="2419"/>
        <w:gridCol w:w="2256"/>
        <w:gridCol w:w="2256"/>
        <w:gridCol w:w="2256"/>
      </w:tblGrid>
      <w:tr w:rsidR="00C117C9" w:rsidTr="00031DF2">
        <w:trPr>
          <w:trHeight w:val="257"/>
        </w:trPr>
        <w:tc>
          <w:tcPr>
            <w:tcW w:w="2419" w:type="dxa"/>
            <w:tcBorders>
              <w:top w:val="single" w:sz="4" w:space="0" w:color="auto"/>
              <w:left w:val="single" w:sz="4" w:space="0" w:color="auto"/>
              <w:bottom w:val="single" w:sz="4" w:space="0" w:color="auto"/>
              <w:right w:val="single" w:sz="4" w:space="0" w:color="auto"/>
            </w:tcBorders>
            <w:shd w:val="clear" w:color="auto" w:fill="auto"/>
          </w:tcPr>
          <w:p w:rsidR="00C117C9" w:rsidRDefault="00031DF2" w:rsidP="00384C3A">
            <w:pPr>
              <w:jc w:val="center"/>
              <w:rPr>
                <w:rFonts w:ascii="Arial" w:hAnsi="Arial" w:cs="Arial"/>
                <w:b/>
                <w:bCs/>
                <w:sz w:val="20"/>
                <w:szCs w:val="20"/>
              </w:rPr>
            </w:pPr>
            <w:r>
              <w:rPr>
                <w:rFonts w:ascii="Arial" w:hAnsi="Arial" w:cs="Arial"/>
                <w:b/>
                <w:bCs/>
                <w:sz w:val="20"/>
                <w:szCs w:val="20"/>
              </w:rPr>
              <w:t>EYS PROFILE</w:t>
            </w:r>
            <w:r w:rsidR="00C117C9">
              <w:rPr>
                <w:rFonts w:ascii="Arial" w:hAnsi="Arial" w:cs="Arial"/>
                <w:b/>
                <w:bCs/>
                <w:sz w:val="20"/>
                <w:szCs w:val="20"/>
              </w:rPr>
              <w:t> </w:t>
            </w:r>
          </w:p>
        </w:tc>
        <w:tc>
          <w:tcPr>
            <w:tcW w:w="2256" w:type="dxa"/>
            <w:tcBorders>
              <w:top w:val="single" w:sz="4" w:space="0" w:color="auto"/>
              <w:left w:val="nil"/>
              <w:bottom w:val="single" w:sz="4" w:space="0" w:color="auto"/>
              <w:right w:val="single" w:sz="4" w:space="0" w:color="auto"/>
            </w:tcBorders>
            <w:shd w:val="clear" w:color="auto" w:fill="8DB3E2"/>
          </w:tcPr>
          <w:p w:rsidR="00C117C9" w:rsidRDefault="00C117C9" w:rsidP="00384C3A">
            <w:pPr>
              <w:jc w:val="center"/>
              <w:rPr>
                <w:rFonts w:ascii="Arial" w:hAnsi="Arial" w:cs="Arial"/>
                <w:b/>
                <w:bCs/>
                <w:sz w:val="20"/>
                <w:szCs w:val="20"/>
              </w:rPr>
            </w:pPr>
            <w:r>
              <w:rPr>
                <w:rFonts w:ascii="Arial" w:hAnsi="Arial" w:cs="Arial"/>
                <w:b/>
                <w:bCs/>
                <w:sz w:val="20"/>
                <w:szCs w:val="20"/>
              </w:rPr>
              <w:t>2016</w:t>
            </w:r>
          </w:p>
        </w:tc>
        <w:tc>
          <w:tcPr>
            <w:tcW w:w="2256" w:type="dxa"/>
            <w:tcBorders>
              <w:top w:val="single" w:sz="4" w:space="0" w:color="auto"/>
              <w:left w:val="nil"/>
              <w:bottom w:val="single" w:sz="4" w:space="0" w:color="auto"/>
              <w:right w:val="single" w:sz="4" w:space="0" w:color="auto"/>
            </w:tcBorders>
            <w:shd w:val="clear" w:color="auto" w:fill="8DB3E2"/>
          </w:tcPr>
          <w:p w:rsidR="00C117C9" w:rsidRDefault="00C117C9" w:rsidP="00384C3A">
            <w:pPr>
              <w:jc w:val="center"/>
              <w:rPr>
                <w:rFonts w:ascii="Arial" w:hAnsi="Arial" w:cs="Arial"/>
                <w:b/>
                <w:bCs/>
                <w:sz w:val="20"/>
                <w:szCs w:val="20"/>
              </w:rPr>
            </w:pPr>
            <w:r>
              <w:rPr>
                <w:rFonts w:ascii="Arial" w:hAnsi="Arial" w:cs="Arial"/>
                <w:b/>
                <w:bCs/>
                <w:sz w:val="20"/>
                <w:szCs w:val="20"/>
              </w:rPr>
              <w:t>2017</w:t>
            </w:r>
          </w:p>
        </w:tc>
        <w:tc>
          <w:tcPr>
            <w:tcW w:w="2256" w:type="dxa"/>
            <w:tcBorders>
              <w:top w:val="single" w:sz="4" w:space="0" w:color="auto"/>
              <w:left w:val="nil"/>
              <w:bottom w:val="single" w:sz="4" w:space="0" w:color="auto"/>
              <w:right w:val="single" w:sz="4" w:space="0" w:color="auto"/>
            </w:tcBorders>
            <w:shd w:val="clear" w:color="auto" w:fill="8DB3E2"/>
          </w:tcPr>
          <w:p w:rsidR="00C117C9" w:rsidRDefault="00C117C9" w:rsidP="00384C3A">
            <w:pPr>
              <w:jc w:val="center"/>
              <w:rPr>
                <w:rFonts w:ascii="Arial" w:hAnsi="Arial" w:cs="Arial"/>
                <w:b/>
                <w:bCs/>
                <w:sz w:val="20"/>
                <w:szCs w:val="20"/>
              </w:rPr>
            </w:pPr>
            <w:r>
              <w:rPr>
                <w:rFonts w:ascii="Arial" w:hAnsi="Arial" w:cs="Arial"/>
                <w:b/>
                <w:bCs/>
                <w:sz w:val="20"/>
                <w:szCs w:val="20"/>
              </w:rPr>
              <w:t>2018</w:t>
            </w:r>
          </w:p>
        </w:tc>
      </w:tr>
      <w:tr w:rsidR="00C117C9" w:rsidTr="0026526C">
        <w:trPr>
          <w:trHeight w:val="608"/>
        </w:trPr>
        <w:tc>
          <w:tcPr>
            <w:tcW w:w="2419" w:type="dxa"/>
            <w:tcBorders>
              <w:top w:val="nil"/>
              <w:left w:val="single" w:sz="4" w:space="0" w:color="auto"/>
              <w:bottom w:val="single" w:sz="4" w:space="0" w:color="auto"/>
              <w:right w:val="single" w:sz="4" w:space="0" w:color="auto"/>
            </w:tcBorders>
            <w:shd w:val="clear" w:color="auto" w:fill="auto"/>
            <w:vAlign w:val="center"/>
          </w:tcPr>
          <w:p w:rsidR="00C117C9" w:rsidRDefault="00C117C9" w:rsidP="00384C3A">
            <w:pPr>
              <w:jc w:val="center"/>
              <w:rPr>
                <w:rFonts w:ascii="Arial" w:hAnsi="Arial" w:cs="Arial"/>
                <w:b/>
                <w:bCs/>
                <w:sz w:val="20"/>
                <w:szCs w:val="20"/>
              </w:rPr>
            </w:pPr>
            <w:r>
              <w:rPr>
                <w:rFonts w:ascii="Arial" w:hAnsi="Arial" w:cs="Arial"/>
                <w:b/>
                <w:bCs/>
                <w:sz w:val="20"/>
                <w:szCs w:val="20"/>
              </w:rPr>
              <w:t>Holy Family</w:t>
            </w:r>
          </w:p>
        </w:tc>
        <w:tc>
          <w:tcPr>
            <w:tcW w:w="2256" w:type="dxa"/>
            <w:tcBorders>
              <w:top w:val="nil"/>
              <w:left w:val="nil"/>
              <w:bottom w:val="single" w:sz="4" w:space="0" w:color="auto"/>
              <w:right w:val="single" w:sz="4" w:space="0" w:color="auto"/>
            </w:tcBorders>
            <w:vAlign w:val="center"/>
          </w:tcPr>
          <w:p w:rsidR="00C117C9" w:rsidRDefault="00C117C9" w:rsidP="00384C3A">
            <w:pPr>
              <w:jc w:val="center"/>
              <w:rPr>
                <w:rFonts w:ascii="Arial" w:hAnsi="Arial" w:cs="Arial"/>
                <w:i/>
                <w:iCs/>
                <w:color w:val="000000"/>
                <w:sz w:val="20"/>
                <w:szCs w:val="20"/>
              </w:rPr>
            </w:pPr>
            <w:r>
              <w:rPr>
                <w:rFonts w:ascii="Arial" w:hAnsi="Arial" w:cs="Arial"/>
                <w:i/>
                <w:iCs/>
                <w:color w:val="000000"/>
                <w:sz w:val="20"/>
                <w:szCs w:val="20"/>
              </w:rPr>
              <w:t>77%</w:t>
            </w:r>
          </w:p>
        </w:tc>
        <w:tc>
          <w:tcPr>
            <w:tcW w:w="2256" w:type="dxa"/>
            <w:tcBorders>
              <w:top w:val="nil"/>
              <w:left w:val="nil"/>
              <w:bottom w:val="single" w:sz="4" w:space="0" w:color="auto"/>
              <w:right w:val="single" w:sz="4" w:space="0" w:color="auto"/>
            </w:tcBorders>
            <w:vAlign w:val="center"/>
          </w:tcPr>
          <w:p w:rsidR="00C117C9" w:rsidRDefault="00031DF2" w:rsidP="0026526C">
            <w:pPr>
              <w:jc w:val="center"/>
              <w:rPr>
                <w:rFonts w:ascii="Arial" w:hAnsi="Arial" w:cs="Arial"/>
                <w:i/>
                <w:iCs/>
                <w:color w:val="000000"/>
                <w:sz w:val="20"/>
                <w:szCs w:val="20"/>
              </w:rPr>
            </w:pPr>
            <w:r>
              <w:rPr>
                <w:rFonts w:ascii="Arial" w:hAnsi="Arial" w:cs="Arial"/>
                <w:i/>
                <w:iCs/>
                <w:sz w:val="20"/>
                <w:szCs w:val="20"/>
              </w:rPr>
              <w:t>76%</w:t>
            </w:r>
          </w:p>
        </w:tc>
        <w:tc>
          <w:tcPr>
            <w:tcW w:w="2256" w:type="dxa"/>
            <w:tcBorders>
              <w:top w:val="nil"/>
              <w:left w:val="nil"/>
              <w:bottom w:val="single" w:sz="4" w:space="0" w:color="auto"/>
              <w:right w:val="single" w:sz="4" w:space="0" w:color="auto"/>
            </w:tcBorders>
            <w:vAlign w:val="center"/>
          </w:tcPr>
          <w:p w:rsidR="00C117C9" w:rsidRDefault="00C117C9" w:rsidP="00384C3A">
            <w:pPr>
              <w:jc w:val="center"/>
              <w:rPr>
                <w:rFonts w:ascii="Arial" w:hAnsi="Arial" w:cs="Arial"/>
                <w:i/>
                <w:iCs/>
                <w:color w:val="000000"/>
                <w:sz w:val="20"/>
                <w:szCs w:val="20"/>
              </w:rPr>
            </w:pPr>
            <w:r>
              <w:rPr>
                <w:rFonts w:ascii="Arial" w:hAnsi="Arial" w:cs="Arial"/>
                <w:i/>
                <w:iCs/>
                <w:color w:val="000000"/>
                <w:sz w:val="20"/>
                <w:szCs w:val="20"/>
              </w:rPr>
              <w:t>77%</w:t>
            </w:r>
          </w:p>
        </w:tc>
      </w:tr>
      <w:tr w:rsidR="00C117C9" w:rsidTr="00031DF2">
        <w:trPr>
          <w:trHeight w:val="560"/>
        </w:trPr>
        <w:tc>
          <w:tcPr>
            <w:tcW w:w="2419" w:type="dxa"/>
            <w:tcBorders>
              <w:top w:val="nil"/>
              <w:left w:val="single" w:sz="4" w:space="0" w:color="auto"/>
              <w:bottom w:val="single" w:sz="4" w:space="0" w:color="auto"/>
              <w:right w:val="single" w:sz="4" w:space="0" w:color="auto"/>
            </w:tcBorders>
            <w:shd w:val="clear" w:color="auto" w:fill="auto"/>
            <w:vAlign w:val="center"/>
          </w:tcPr>
          <w:p w:rsidR="00C117C9" w:rsidRDefault="00C117C9" w:rsidP="00384C3A">
            <w:pPr>
              <w:jc w:val="center"/>
              <w:rPr>
                <w:rFonts w:ascii="Arial" w:hAnsi="Arial" w:cs="Arial"/>
                <w:b/>
                <w:bCs/>
                <w:sz w:val="20"/>
                <w:szCs w:val="20"/>
              </w:rPr>
            </w:pPr>
            <w:r>
              <w:rPr>
                <w:rFonts w:ascii="Arial" w:hAnsi="Arial" w:cs="Arial"/>
                <w:b/>
                <w:bCs/>
                <w:sz w:val="20"/>
                <w:szCs w:val="20"/>
              </w:rPr>
              <w:t>LA Average</w:t>
            </w:r>
          </w:p>
        </w:tc>
        <w:tc>
          <w:tcPr>
            <w:tcW w:w="2256" w:type="dxa"/>
            <w:tcBorders>
              <w:top w:val="nil"/>
              <w:left w:val="nil"/>
              <w:bottom w:val="single" w:sz="4" w:space="0" w:color="auto"/>
              <w:right w:val="single" w:sz="4" w:space="0" w:color="auto"/>
            </w:tcBorders>
            <w:vAlign w:val="center"/>
          </w:tcPr>
          <w:p w:rsidR="00C117C9" w:rsidRDefault="00C117C9" w:rsidP="00384C3A">
            <w:pPr>
              <w:jc w:val="center"/>
              <w:rPr>
                <w:rFonts w:ascii="Arial" w:hAnsi="Arial" w:cs="Arial"/>
                <w:i/>
                <w:iCs/>
                <w:sz w:val="20"/>
                <w:szCs w:val="20"/>
              </w:rPr>
            </w:pPr>
            <w:r>
              <w:rPr>
                <w:rFonts w:ascii="Arial" w:hAnsi="Arial" w:cs="Arial"/>
                <w:i/>
                <w:iCs/>
                <w:sz w:val="20"/>
                <w:szCs w:val="20"/>
              </w:rPr>
              <w:t>66%</w:t>
            </w:r>
          </w:p>
        </w:tc>
        <w:tc>
          <w:tcPr>
            <w:tcW w:w="2256" w:type="dxa"/>
            <w:tcBorders>
              <w:top w:val="nil"/>
              <w:left w:val="nil"/>
              <w:bottom w:val="single" w:sz="4" w:space="0" w:color="auto"/>
              <w:right w:val="single" w:sz="4" w:space="0" w:color="auto"/>
            </w:tcBorders>
            <w:vAlign w:val="center"/>
          </w:tcPr>
          <w:p w:rsidR="00C117C9" w:rsidRDefault="00031DF2" w:rsidP="00031DF2">
            <w:pPr>
              <w:jc w:val="center"/>
              <w:rPr>
                <w:rFonts w:ascii="Arial" w:hAnsi="Arial" w:cs="Arial"/>
                <w:i/>
                <w:iCs/>
                <w:sz w:val="20"/>
                <w:szCs w:val="20"/>
              </w:rPr>
            </w:pPr>
            <w:r>
              <w:rPr>
                <w:rFonts w:ascii="Arial" w:hAnsi="Arial" w:cs="Arial"/>
                <w:i/>
                <w:iCs/>
                <w:sz w:val="20"/>
                <w:szCs w:val="20"/>
              </w:rPr>
              <w:t>67%</w:t>
            </w:r>
          </w:p>
        </w:tc>
        <w:tc>
          <w:tcPr>
            <w:tcW w:w="2256" w:type="dxa"/>
            <w:tcBorders>
              <w:top w:val="nil"/>
              <w:left w:val="nil"/>
              <w:bottom w:val="single" w:sz="4" w:space="0" w:color="auto"/>
              <w:right w:val="single" w:sz="4" w:space="0" w:color="auto"/>
            </w:tcBorders>
            <w:vAlign w:val="center"/>
          </w:tcPr>
          <w:p w:rsidR="00C117C9" w:rsidRDefault="00C117C9" w:rsidP="00384C3A">
            <w:pPr>
              <w:jc w:val="center"/>
              <w:rPr>
                <w:rFonts w:ascii="Arial" w:hAnsi="Arial" w:cs="Arial"/>
                <w:i/>
                <w:iCs/>
                <w:sz w:val="20"/>
                <w:szCs w:val="20"/>
              </w:rPr>
            </w:pPr>
            <w:r>
              <w:rPr>
                <w:rFonts w:ascii="Arial" w:hAnsi="Arial" w:cs="Arial"/>
                <w:i/>
                <w:iCs/>
                <w:sz w:val="20"/>
                <w:szCs w:val="20"/>
              </w:rPr>
              <w:t>68%</w:t>
            </w:r>
          </w:p>
        </w:tc>
      </w:tr>
      <w:tr w:rsidR="00C117C9" w:rsidTr="00031DF2">
        <w:trPr>
          <w:trHeight w:val="514"/>
        </w:trPr>
        <w:tc>
          <w:tcPr>
            <w:tcW w:w="2419" w:type="dxa"/>
            <w:tcBorders>
              <w:top w:val="nil"/>
              <w:left w:val="single" w:sz="4" w:space="0" w:color="auto"/>
              <w:bottom w:val="single" w:sz="4" w:space="0" w:color="auto"/>
              <w:right w:val="single" w:sz="4" w:space="0" w:color="auto"/>
            </w:tcBorders>
            <w:shd w:val="clear" w:color="auto" w:fill="auto"/>
            <w:vAlign w:val="center"/>
          </w:tcPr>
          <w:p w:rsidR="00C117C9" w:rsidRDefault="00C117C9" w:rsidP="00384C3A">
            <w:pPr>
              <w:jc w:val="center"/>
              <w:rPr>
                <w:rFonts w:ascii="Arial" w:hAnsi="Arial" w:cs="Arial"/>
                <w:b/>
                <w:bCs/>
                <w:sz w:val="20"/>
                <w:szCs w:val="20"/>
              </w:rPr>
            </w:pPr>
            <w:r>
              <w:rPr>
                <w:rFonts w:ascii="Arial" w:hAnsi="Arial" w:cs="Arial"/>
                <w:b/>
                <w:bCs/>
                <w:sz w:val="20"/>
                <w:szCs w:val="20"/>
              </w:rPr>
              <w:t>Eng Average</w:t>
            </w:r>
          </w:p>
        </w:tc>
        <w:tc>
          <w:tcPr>
            <w:tcW w:w="2256" w:type="dxa"/>
            <w:tcBorders>
              <w:top w:val="nil"/>
              <w:left w:val="nil"/>
              <w:bottom w:val="single" w:sz="4" w:space="0" w:color="auto"/>
              <w:right w:val="single" w:sz="4" w:space="0" w:color="auto"/>
            </w:tcBorders>
            <w:vAlign w:val="center"/>
          </w:tcPr>
          <w:p w:rsidR="00C117C9" w:rsidRDefault="00C117C9" w:rsidP="00384C3A">
            <w:pPr>
              <w:jc w:val="center"/>
              <w:rPr>
                <w:rFonts w:ascii="Arial" w:hAnsi="Arial" w:cs="Arial"/>
                <w:i/>
                <w:iCs/>
                <w:sz w:val="20"/>
                <w:szCs w:val="20"/>
              </w:rPr>
            </w:pPr>
            <w:r>
              <w:rPr>
                <w:rFonts w:ascii="Arial" w:hAnsi="Arial" w:cs="Arial"/>
                <w:i/>
                <w:iCs/>
                <w:sz w:val="20"/>
                <w:szCs w:val="20"/>
              </w:rPr>
              <w:t>69%</w:t>
            </w:r>
          </w:p>
        </w:tc>
        <w:tc>
          <w:tcPr>
            <w:tcW w:w="2256" w:type="dxa"/>
            <w:tcBorders>
              <w:top w:val="nil"/>
              <w:left w:val="nil"/>
              <w:bottom w:val="single" w:sz="4" w:space="0" w:color="auto"/>
              <w:right w:val="single" w:sz="4" w:space="0" w:color="auto"/>
            </w:tcBorders>
            <w:vAlign w:val="center"/>
          </w:tcPr>
          <w:p w:rsidR="00C117C9" w:rsidRDefault="00C117C9" w:rsidP="00384C3A">
            <w:pPr>
              <w:jc w:val="center"/>
              <w:rPr>
                <w:rFonts w:ascii="Arial" w:hAnsi="Arial" w:cs="Arial"/>
                <w:i/>
                <w:iCs/>
                <w:sz w:val="20"/>
                <w:szCs w:val="20"/>
              </w:rPr>
            </w:pPr>
            <w:r>
              <w:rPr>
                <w:rFonts w:ascii="Arial" w:hAnsi="Arial" w:cs="Arial"/>
                <w:i/>
                <w:iCs/>
                <w:sz w:val="20"/>
                <w:szCs w:val="20"/>
              </w:rPr>
              <w:t>71%</w:t>
            </w:r>
          </w:p>
        </w:tc>
        <w:tc>
          <w:tcPr>
            <w:tcW w:w="2256" w:type="dxa"/>
            <w:tcBorders>
              <w:top w:val="nil"/>
              <w:left w:val="nil"/>
              <w:bottom w:val="single" w:sz="4" w:space="0" w:color="auto"/>
              <w:right w:val="single" w:sz="4" w:space="0" w:color="auto"/>
            </w:tcBorders>
            <w:vAlign w:val="center"/>
          </w:tcPr>
          <w:p w:rsidR="00C117C9" w:rsidRDefault="00C117C9" w:rsidP="00384C3A">
            <w:pPr>
              <w:jc w:val="center"/>
              <w:rPr>
                <w:rFonts w:ascii="Arial" w:hAnsi="Arial" w:cs="Arial"/>
                <w:i/>
                <w:iCs/>
                <w:sz w:val="20"/>
                <w:szCs w:val="20"/>
              </w:rPr>
            </w:pPr>
            <w:r>
              <w:rPr>
                <w:rFonts w:ascii="Arial" w:hAnsi="Arial" w:cs="Arial"/>
                <w:i/>
                <w:iCs/>
                <w:sz w:val="20"/>
                <w:szCs w:val="20"/>
              </w:rPr>
              <w:t>72%</w:t>
            </w:r>
          </w:p>
        </w:tc>
      </w:tr>
    </w:tbl>
    <w:p w:rsidR="004D5C2E" w:rsidRDefault="004D5C2E" w:rsidP="004D5C2E">
      <w:pPr>
        <w:rPr>
          <w:rFonts w:cs="Tahoma"/>
        </w:rPr>
      </w:pPr>
    </w:p>
    <w:p w:rsidR="0026526C" w:rsidRPr="0026526C" w:rsidRDefault="0026526C" w:rsidP="004D5C2E">
      <w:pPr>
        <w:rPr>
          <w:b/>
          <w:u w:val="single"/>
        </w:rPr>
      </w:pPr>
      <w:r w:rsidRPr="0026526C">
        <w:rPr>
          <w:b/>
          <w:u w:val="single"/>
        </w:rPr>
        <w:t>Phonic Screening Check</w:t>
      </w:r>
    </w:p>
    <w:p w:rsidR="004D5C2E" w:rsidRDefault="00031DF2" w:rsidP="004D5C2E">
      <w:r>
        <w:t>In Year 1 children are also assessed in their knowledge of phonics (the sounds letters, and the combination of letters</w:t>
      </w:r>
      <w:r w:rsidR="0026526C">
        <w:t>,</w:t>
      </w:r>
      <w:r>
        <w:t xml:space="preserve"> make). This assessment is known as the Phonic Screening Check. The results by our children are as follows:</w:t>
      </w:r>
      <w:r w:rsidR="0026526C">
        <w:t xml:space="preserve"> (Figures in brackets are national percentages.)</w:t>
      </w:r>
    </w:p>
    <w:p w:rsidR="00031DF2" w:rsidRDefault="00031DF2" w:rsidP="004D5C2E"/>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2558"/>
        <w:gridCol w:w="2558"/>
        <w:gridCol w:w="2558"/>
      </w:tblGrid>
      <w:tr w:rsidR="00031DF2" w:rsidTr="00031DF2">
        <w:trPr>
          <w:trHeight w:val="400"/>
        </w:trPr>
        <w:tc>
          <w:tcPr>
            <w:tcW w:w="1856" w:type="dxa"/>
            <w:shd w:val="clear" w:color="auto" w:fill="8DB3E2"/>
          </w:tcPr>
          <w:p w:rsidR="00031DF2" w:rsidRDefault="00031DF2" w:rsidP="00384C3A">
            <w:r>
              <w:t>Y1 Phonics test</w:t>
            </w:r>
          </w:p>
        </w:tc>
        <w:tc>
          <w:tcPr>
            <w:tcW w:w="2558" w:type="dxa"/>
            <w:shd w:val="clear" w:color="auto" w:fill="8DB3E2"/>
            <w:vAlign w:val="center"/>
          </w:tcPr>
          <w:p w:rsidR="00031DF2" w:rsidRDefault="00031DF2" w:rsidP="00384C3A">
            <w:pPr>
              <w:jc w:val="center"/>
            </w:pPr>
            <w:r>
              <w:t>2016</w:t>
            </w:r>
          </w:p>
        </w:tc>
        <w:tc>
          <w:tcPr>
            <w:tcW w:w="2558" w:type="dxa"/>
            <w:shd w:val="clear" w:color="auto" w:fill="8DB3E2"/>
            <w:vAlign w:val="center"/>
          </w:tcPr>
          <w:p w:rsidR="00031DF2" w:rsidRDefault="00031DF2" w:rsidP="00384C3A">
            <w:pPr>
              <w:jc w:val="center"/>
            </w:pPr>
            <w:r>
              <w:t>2017</w:t>
            </w:r>
          </w:p>
        </w:tc>
        <w:tc>
          <w:tcPr>
            <w:tcW w:w="2558" w:type="dxa"/>
            <w:shd w:val="clear" w:color="auto" w:fill="8DB3E2"/>
            <w:vAlign w:val="center"/>
          </w:tcPr>
          <w:p w:rsidR="00031DF2" w:rsidRDefault="00031DF2" w:rsidP="00384C3A">
            <w:pPr>
              <w:jc w:val="center"/>
            </w:pPr>
            <w:r>
              <w:t>2018</w:t>
            </w:r>
          </w:p>
        </w:tc>
      </w:tr>
      <w:tr w:rsidR="00031DF2" w:rsidTr="00031DF2">
        <w:trPr>
          <w:trHeight w:val="800"/>
        </w:trPr>
        <w:tc>
          <w:tcPr>
            <w:tcW w:w="1856" w:type="dxa"/>
            <w:shd w:val="clear" w:color="auto" w:fill="auto"/>
            <w:vAlign w:val="center"/>
          </w:tcPr>
          <w:p w:rsidR="00031DF2" w:rsidRDefault="00031DF2" w:rsidP="00384C3A">
            <w:r>
              <w:t xml:space="preserve">%age attaining at expected level </w:t>
            </w:r>
            <w:r w:rsidR="0026526C">
              <w:t xml:space="preserve"> in </w:t>
            </w:r>
            <w:r>
              <w:t>Year 1</w:t>
            </w:r>
          </w:p>
        </w:tc>
        <w:tc>
          <w:tcPr>
            <w:tcW w:w="2558" w:type="dxa"/>
            <w:vAlign w:val="center"/>
          </w:tcPr>
          <w:p w:rsidR="00031DF2" w:rsidRDefault="00031DF2" w:rsidP="00384C3A">
            <w:pPr>
              <w:jc w:val="center"/>
            </w:pPr>
            <w:r>
              <w:t>94% (81%)</w:t>
            </w:r>
          </w:p>
        </w:tc>
        <w:tc>
          <w:tcPr>
            <w:tcW w:w="2558" w:type="dxa"/>
            <w:vAlign w:val="center"/>
          </w:tcPr>
          <w:p w:rsidR="00031DF2" w:rsidRDefault="00031DF2" w:rsidP="00031DF2">
            <w:pPr>
              <w:jc w:val="center"/>
            </w:pPr>
            <w:r>
              <w:t>100% (81%)</w:t>
            </w:r>
          </w:p>
        </w:tc>
        <w:tc>
          <w:tcPr>
            <w:tcW w:w="2558" w:type="dxa"/>
            <w:vAlign w:val="center"/>
          </w:tcPr>
          <w:p w:rsidR="00031DF2" w:rsidRDefault="00031DF2" w:rsidP="00031DF2">
            <w:pPr>
              <w:jc w:val="center"/>
            </w:pPr>
            <w:r>
              <w:t>90% (83%)</w:t>
            </w:r>
          </w:p>
        </w:tc>
      </w:tr>
    </w:tbl>
    <w:p w:rsidR="0026526C" w:rsidRDefault="0026526C" w:rsidP="004D5C2E"/>
    <w:p w:rsidR="003A2860" w:rsidRDefault="003A2860" w:rsidP="004D5C2E">
      <w:pPr>
        <w:rPr>
          <w:b/>
          <w:u w:val="single"/>
        </w:rPr>
      </w:pPr>
    </w:p>
    <w:p w:rsidR="0026526C" w:rsidRDefault="0026526C" w:rsidP="004D5C2E">
      <w:pPr>
        <w:rPr>
          <w:b/>
          <w:u w:val="single"/>
        </w:rPr>
      </w:pPr>
      <w:r w:rsidRPr="0026526C">
        <w:rPr>
          <w:b/>
          <w:u w:val="single"/>
        </w:rPr>
        <w:t>Key Stage 1 SATs</w:t>
      </w:r>
    </w:p>
    <w:p w:rsidR="0026526C" w:rsidRDefault="0026526C" w:rsidP="004D5C2E">
      <w:r>
        <w:t>At the end of Key Stage 1 (Year 2) our children are assessed in Reading, Writing and Mathematics. These assessments are on-going and are based on the teacher’s on-going assessment of the children against national standards. Children are also given more formal ‘tests’ in reading and mathematics. The results of these tests are used to support the overall Teacher Assessment. In Year 2, schools are selected to be moderated</w:t>
      </w:r>
      <w:r w:rsidR="00041732">
        <w:t>. External moderators visit schools and check to ensure teachers’ assessment</w:t>
      </w:r>
      <w:r w:rsidR="003A2860">
        <w:t>s</w:t>
      </w:r>
      <w:r w:rsidR="00041732">
        <w:t xml:space="preserve"> are robust and accurate in order to support consistency in assessments. Teachers share children’s work with moderators and have to evidence the decisions they have made. Holy Family </w:t>
      </w:r>
      <w:r w:rsidR="00264D06">
        <w:t xml:space="preserve">School </w:t>
      </w:r>
      <w:r w:rsidR="00041732">
        <w:t>was last moderated</w:t>
      </w:r>
      <w:r w:rsidR="00264D06">
        <w:t xml:space="preserve"> at key Stage 1</w:t>
      </w:r>
      <w:r w:rsidR="00041732">
        <w:t xml:space="preserve"> in June 2018. All judgements made were upheld.</w:t>
      </w:r>
    </w:p>
    <w:p w:rsidR="003A2860" w:rsidRDefault="003A2860" w:rsidP="004D5C2E"/>
    <w:p w:rsidR="003A2860" w:rsidRDefault="003A2860" w:rsidP="004D5C2E"/>
    <w:p w:rsidR="003A2860" w:rsidRDefault="003A2860" w:rsidP="004D5C2E">
      <w:bookmarkStart w:id="0" w:name="_GoBack"/>
      <w:bookmarkEnd w:id="0"/>
    </w:p>
    <w:p w:rsidR="003A2860" w:rsidRDefault="003A2860" w:rsidP="004D5C2E"/>
    <w:p w:rsidR="00041732" w:rsidRDefault="00041732" w:rsidP="004D5C2E">
      <w:r>
        <w:lastRenderedPageBreak/>
        <w:t>Our results are as follows:</w:t>
      </w:r>
    </w:p>
    <w:p w:rsidR="00041732" w:rsidRDefault="00041732" w:rsidP="004D5C2E"/>
    <w:tbl>
      <w:tblPr>
        <w:tblpPr w:leftFromText="180" w:rightFromText="180" w:vertAnchor="text" w:horzAnchor="margin" w:tblpY="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0"/>
        <w:gridCol w:w="1248"/>
        <w:gridCol w:w="1406"/>
        <w:gridCol w:w="1239"/>
        <w:gridCol w:w="1254"/>
        <w:gridCol w:w="1172"/>
        <w:gridCol w:w="1073"/>
      </w:tblGrid>
      <w:tr w:rsidR="00041732" w:rsidRPr="009D332C" w:rsidTr="00D912E4">
        <w:trPr>
          <w:trHeight w:val="366"/>
        </w:trPr>
        <w:tc>
          <w:tcPr>
            <w:tcW w:w="1850" w:type="dxa"/>
            <w:shd w:val="clear" w:color="auto" w:fill="B8CCE4"/>
          </w:tcPr>
          <w:p w:rsidR="00041732" w:rsidRPr="009D332C" w:rsidRDefault="00041732" w:rsidP="00384C3A">
            <w:pPr>
              <w:jc w:val="center"/>
              <w:rPr>
                <w:rFonts w:ascii="Comic Sans MS" w:hAnsi="Comic Sans MS"/>
              </w:rPr>
            </w:pPr>
          </w:p>
        </w:tc>
        <w:tc>
          <w:tcPr>
            <w:tcW w:w="1248" w:type="dxa"/>
            <w:shd w:val="clear" w:color="auto" w:fill="B8CCE4"/>
          </w:tcPr>
          <w:p w:rsidR="00041732" w:rsidRDefault="00041732" w:rsidP="00384C3A">
            <w:pPr>
              <w:jc w:val="center"/>
              <w:rPr>
                <w:rFonts w:ascii="Comic Sans MS" w:hAnsi="Comic Sans MS"/>
              </w:rPr>
            </w:pPr>
            <w:r>
              <w:rPr>
                <w:rFonts w:ascii="Comic Sans MS" w:hAnsi="Comic Sans MS"/>
              </w:rPr>
              <w:t>2016</w:t>
            </w:r>
          </w:p>
        </w:tc>
        <w:tc>
          <w:tcPr>
            <w:tcW w:w="1406" w:type="dxa"/>
            <w:shd w:val="clear" w:color="auto" w:fill="B8CCE4"/>
          </w:tcPr>
          <w:p w:rsidR="00041732" w:rsidRDefault="00041732" w:rsidP="00384C3A">
            <w:pPr>
              <w:jc w:val="center"/>
              <w:rPr>
                <w:rFonts w:ascii="Comic Sans MS" w:hAnsi="Comic Sans MS"/>
              </w:rPr>
            </w:pPr>
            <w:r>
              <w:rPr>
                <w:rFonts w:ascii="Comic Sans MS" w:hAnsi="Comic Sans MS"/>
              </w:rPr>
              <w:t>National</w:t>
            </w:r>
          </w:p>
        </w:tc>
        <w:tc>
          <w:tcPr>
            <w:tcW w:w="1239" w:type="dxa"/>
            <w:shd w:val="clear" w:color="auto" w:fill="B8CCE4"/>
          </w:tcPr>
          <w:p w:rsidR="00041732" w:rsidRDefault="00041732" w:rsidP="00384C3A">
            <w:pPr>
              <w:jc w:val="center"/>
              <w:rPr>
                <w:rFonts w:ascii="Comic Sans MS" w:hAnsi="Comic Sans MS"/>
              </w:rPr>
            </w:pPr>
            <w:r>
              <w:rPr>
                <w:rFonts w:ascii="Comic Sans MS" w:hAnsi="Comic Sans MS"/>
              </w:rPr>
              <w:t>2017</w:t>
            </w:r>
          </w:p>
        </w:tc>
        <w:tc>
          <w:tcPr>
            <w:tcW w:w="1254" w:type="dxa"/>
            <w:shd w:val="clear" w:color="auto" w:fill="B8CCE4"/>
          </w:tcPr>
          <w:p w:rsidR="00041732" w:rsidRDefault="00041732" w:rsidP="00384C3A">
            <w:pPr>
              <w:jc w:val="center"/>
              <w:rPr>
                <w:rFonts w:ascii="Comic Sans MS" w:hAnsi="Comic Sans MS"/>
              </w:rPr>
            </w:pPr>
            <w:r>
              <w:rPr>
                <w:rFonts w:ascii="Comic Sans MS" w:hAnsi="Comic Sans MS"/>
              </w:rPr>
              <w:t>National</w:t>
            </w:r>
          </w:p>
        </w:tc>
        <w:tc>
          <w:tcPr>
            <w:tcW w:w="1172" w:type="dxa"/>
            <w:shd w:val="clear" w:color="auto" w:fill="B8CCE4"/>
          </w:tcPr>
          <w:p w:rsidR="00041732" w:rsidRDefault="00041732" w:rsidP="00384C3A">
            <w:pPr>
              <w:jc w:val="center"/>
              <w:rPr>
                <w:rFonts w:ascii="Comic Sans MS" w:hAnsi="Comic Sans MS"/>
              </w:rPr>
            </w:pPr>
            <w:r>
              <w:rPr>
                <w:rFonts w:ascii="Comic Sans MS" w:hAnsi="Comic Sans MS"/>
              </w:rPr>
              <w:t>2018</w:t>
            </w:r>
          </w:p>
        </w:tc>
        <w:tc>
          <w:tcPr>
            <w:tcW w:w="1073" w:type="dxa"/>
            <w:shd w:val="clear" w:color="auto" w:fill="B8CCE4"/>
          </w:tcPr>
          <w:p w:rsidR="00041732" w:rsidRDefault="00041732" w:rsidP="00384C3A">
            <w:pPr>
              <w:jc w:val="center"/>
              <w:rPr>
                <w:rFonts w:ascii="Comic Sans MS" w:hAnsi="Comic Sans MS"/>
              </w:rPr>
            </w:pPr>
            <w:r>
              <w:rPr>
                <w:rFonts w:ascii="Comic Sans MS" w:hAnsi="Comic Sans MS"/>
              </w:rPr>
              <w:t>National</w:t>
            </w:r>
          </w:p>
        </w:tc>
      </w:tr>
      <w:tr w:rsidR="00D912E4" w:rsidRPr="009D332C" w:rsidTr="00D912E4">
        <w:trPr>
          <w:trHeight w:val="503"/>
        </w:trPr>
        <w:tc>
          <w:tcPr>
            <w:tcW w:w="1850" w:type="dxa"/>
            <w:vAlign w:val="center"/>
          </w:tcPr>
          <w:p w:rsidR="00D912E4" w:rsidRPr="009D332C" w:rsidRDefault="00D912E4" w:rsidP="00D912E4">
            <w:pPr>
              <w:jc w:val="center"/>
              <w:rPr>
                <w:rFonts w:ascii="Comic Sans MS" w:hAnsi="Comic Sans MS"/>
              </w:rPr>
            </w:pPr>
            <w:r>
              <w:rPr>
                <w:rFonts w:ascii="Comic Sans MS" w:hAnsi="Comic Sans MS"/>
              </w:rPr>
              <w:t>Reading EXS</w:t>
            </w:r>
          </w:p>
        </w:tc>
        <w:tc>
          <w:tcPr>
            <w:tcW w:w="1248"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93%</w:t>
            </w:r>
          </w:p>
        </w:tc>
        <w:tc>
          <w:tcPr>
            <w:tcW w:w="1406"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74%</w:t>
            </w:r>
          </w:p>
        </w:tc>
        <w:tc>
          <w:tcPr>
            <w:tcW w:w="1239"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87%</w:t>
            </w:r>
          </w:p>
        </w:tc>
        <w:tc>
          <w:tcPr>
            <w:tcW w:w="1254"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76%</w:t>
            </w:r>
          </w:p>
        </w:tc>
        <w:tc>
          <w:tcPr>
            <w:tcW w:w="1172"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90%</w:t>
            </w:r>
          </w:p>
        </w:tc>
        <w:tc>
          <w:tcPr>
            <w:tcW w:w="1073" w:type="dxa"/>
            <w:vAlign w:val="center"/>
          </w:tcPr>
          <w:p w:rsidR="00D912E4" w:rsidRPr="00041732" w:rsidRDefault="00D912E4" w:rsidP="00D912E4">
            <w:pPr>
              <w:jc w:val="center"/>
              <w:rPr>
                <w:rFonts w:ascii="Comic Sans MS" w:hAnsi="Comic Sans MS"/>
              </w:rPr>
            </w:pPr>
            <w:r>
              <w:rPr>
                <w:rFonts w:ascii="Comic Sans MS" w:hAnsi="Comic Sans MS"/>
              </w:rPr>
              <w:t>75</w:t>
            </w:r>
            <w:r w:rsidRPr="00041732">
              <w:rPr>
                <w:rFonts w:ascii="Comic Sans MS" w:hAnsi="Comic Sans MS"/>
              </w:rPr>
              <w:t>%</w:t>
            </w:r>
          </w:p>
        </w:tc>
      </w:tr>
      <w:tr w:rsidR="00D912E4" w:rsidRPr="009D332C" w:rsidTr="00D912E4">
        <w:trPr>
          <w:trHeight w:val="422"/>
        </w:trPr>
        <w:tc>
          <w:tcPr>
            <w:tcW w:w="1850" w:type="dxa"/>
            <w:vAlign w:val="center"/>
          </w:tcPr>
          <w:p w:rsidR="00D912E4" w:rsidRPr="009D332C" w:rsidRDefault="00D912E4" w:rsidP="00D912E4">
            <w:pPr>
              <w:jc w:val="center"/>
              <w:rPr>
                <w:rFonts w:ascii="Comic Sans MS" w:hAnsi="Comic Sans MS"/>
              </w:rPr>
            </w:pPr>
            <w:r>
              <w:rPr>
                <w:rFonts w:ascii="Comic Sans MS" w:hAnsi="Comic Sans MS"/>
              </w:rPr>
              <w:t>Reading GDS</w:t>
            </w:r>
          </w:p>
        </w:tc>
        <w:tc>
          <w:tcPr>
            <w:tcW w:w="1248"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30%</w:t>
            </w:r>
          </w:p>
        </w:tc>
        <w:tc>
          <w:tcPr>
            <w:tcW w:w="1406"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24%</w:t>
            </w:r>
          </w:p>
        </w:tc>
        <w:tc>
          <w:tcPr>
            <w:tcW w:w="1239"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32%</w:t>
            </w:r>
          </w:p>
        </w:tc>
        <w:tc>
          <w:tcPr>
            <w:tcW w:w="1254"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25%</w:t>
            </w:r>
          </w:p>
        </w:tc>
        <w:tc>
          <w:tcPr>
            <w:tcW w:w="1172" w:type="dxa"/>
            <w:shd w:val="clear" w:color="auto" w:fill="auto"/>
            <w:vAlign w:val="center"/>
          </w:tcPr>
          <w:p w:rsidR="00D912E4" w:rsidRPr="00041732" w:rsidRDefault="00C72B49" w:rsidP="00D912E4">
            <w:pPr>
              <w:jc w:val="center"/>
              <w:rPr>
                <w:rFonts w:ascii="Comic Sans MS" w:hAnsi="Comic Sans MS"/>
              </w:rPr>
            </w:pPr>
            <w:r>
              <w:rPr>
                <w:rFonts w:ascii="Comic Sans MS" w:hAnsi="Comic Sans MS"/>
              </w:rPr>
              <w:t>35</w:t>
            </w:r>
            <w:r w:rsidR="00D912E4" w:rsidRPr="00041732">
              <w:rPr>
                <w:rFonts w:ascii="Comic Sans MS" w:hAnsi="Comic Sans MS"/>
              </w:rPr>
              <w:t>%</w:t>
            </w:r>
          </w:p>
        </w:tc>
        <w:tc>
          <w:tcPr>
            <w:tcW w:w="1073" w:type="dxa"/>
            <w:vAlign w:val="center"/>
          </w:tcPr>
          <w:p w:rsidR="00D912E4" w:rsidRPr="00041732" w:rsidRDefault="00A2702F" w:rsidP="00D912E4">
            <w:pPr>
              <w:jc w:val="center"/>
              <w:rPr>
                <w:rFonts w:ascii="Comic Sans MS" w:hAnsi="Comic Sans MS"/>
              </w:rPr>
            </w:pPr>
            <w:r>
              <w:rPr>
                <w:rFonts w:ascii="Comic Sans MS" w:hAnsi="Comic Sans MS"/>
              </w:rPr>
              <w:t>25</w:t>
            </w:r>
            <w:r w:rsidR="00D912E4" w:rsidRPr="00041732">
              <w:rPr>
                <w:rFonts w:ascii="Comic Sans MS" w:hAnsi="Comic Sans MS"/>
              </w:rPr>
              <w:t>%</w:t>
            </w:r>
          </w:p>
        </w:tc>
      </w:tr>
      <w:tr w:rsidR="00D912E4" w:rsidRPr="009D332C" w:rsidTr="00D912E4">
        <w:trPr>
          <w:trHeight w:val="428"/>
        </w:trPr>
        <w:tc>
          <w:tcPr>
            <w:tcW w:w="1850" w:type="dxa"/>
            <w:vAlign w:val="center"/>
          </w:tcPr>
          <w:p w:rsidR="00D912E4" w:rsidRPr="009D332C" w:rsidRDefault="00D912E4" w:rsidP="00D912E4">
            <w:pPr>
              <w:jc w:val="center"/>
              <w:rPr>
                <w:rFonts w:ascii="Comic Sans MS" w:hAnsi="Comic Sans MS"/>
              </w:rPr>
            </w:pPr>
            <w:r>
              <w:rPr>
                <w:rFonts w:ascii="Comic Sans MS" w:hAnsi="Comic Sans MS"/>
              </w:rPr>
              <w:t>Writing EXS</w:t>
            </w:r>
          </w:p>
        </w:tc>
        <w:tc>
          <w:tcPr>
            <w:tcW w:w="1248"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93%</w:t>
            </w:r>
          </w:p>
        </w:tc>
        <w:tc>
          <w:tcPr>
            <w:tcW w:w="1406"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66%</w:t>
            </w:r>
          </w:p>
        </w:tc>
        <w:tc>
          <w:tcPr>
            <w:tcW w:w="1239"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81%</w:t>
            </w:r>
          </w:p>
        </w:tc>
        <w:tc>
          <w:tcPr>
            <w:tcW w:w="1254"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68%</w:t>
            </w:r>
          </w:p>
        </w:tc>
        <w:tc>
          <w:tcPr>
            <w:tcW w:w="1172" w:type="dxa"/>
            <w:shd w:val="clear" w:color="auto" w:fill="auto"/>
            <w:vAlign w:val="center"/>
          </w:tcPr>
          <w:p w:rsidR="00D912E4" w:rsidRPr="00041732" w:rsidRDefault="00426BD6" w:rsidP="00D912E4">
            <w:pPr>
              <w:jc w:val="center"/>
              <w:rPr>
                <w:rFonts w:ascii="Comic Sans MS" w:hAnsi="Comic Sans MS"/>
              </w:rPr>
            </w:pPr>
            <w:r>
              <w:rPr>
                <w:rFonts w:ascii="Comic Sans MS" w:hAnsi="Comic Sans MS"/>
              </w:rPr>
              <w:t>83</w:t>
            </w:r>
            <w:r w:rsidR="00D912E4" w:rsidRPr="00041732">
              <w:rPr>
                <w:rFonts w:ascii="Comic Sans MS" w:hAnsi="Comic Sans MS"/>
              </w:rPr>
              <w:t>%</w:t>
            </w:r>
          </w:p>
        </w:tc>
        <w:tc>
          <w:tcPr>
            <w:tcW w:w="1073" w:type="dxa"/>
            <w:vAlign w:val="center"/>
          </w:tcPr>
          <w:p w:rsidR="00D912E4" w:rsidRPr="00041732" w:rsidRDefault="00A2702F" w:rsidP="00D912E4">
            <w:pPr>
              <w:jc w:val="center"/>
              <w:rPr>
                <w:rFonts w:ascii="Comic Sans MS" w:hAnsi="Comic Sans MS"/>
              </w:rPr>
            </w:pPr>
            <w:r>
              <w:rPr>
                <w:rFonts w:ascii="Comic Sans MS" w:hAnsi="Comic Sans MS"/>
              </w:rPr>
              <w:t>70</w:t>
            </w:r>
            <w:r w:rsidR="00D912E4" w:rsidRPr="00041732">
              <w:rPr>
                <w:rFonts w:ascii="Comic Sans MS" w:hAnsi="Comic Sans MS"/>
              </w:rPr>
              <w:t>%</w:t>
            </w:r>
          </w:p>
        </w:tc>
      </w:tr>
      <w:tr w:rsidR="00D912E4" w:rsidRPr="009D332C" w:rsidTr="00D912E4">
        <w:trPr>
          <w:trHeight w:val="435"/>
        </w:trPr>
        <w:tc>
          <w:tcPr>
            <w:tcW w:w="1850" w:type="dxa"/>
            <w:vAlign w:val="center"/>
          </w:tcPr>
          <w:p w:rsidR="00D912E4" w:rsidRPr="009D332C" w:rsidRDefault="00D912E4" w:rsidP="00D912E4">
            <w:pPr>
              <w:jc w:val="center"/>
              <w:rPr>
                <w:rFonts w:ascii="Comic Sans MS" w:hAnsi="Comic Sans MS"/>
              </w:rPr>
            </w:pPr>
            <w:r>
              <w:rPr>
                <w:rFonts w:ascii="Comic Sans MS" w:hAnsi="Comic Sans MS"/>
              </w:rPr>
              <w:t>Writing GDS</w:t>
            </w:r>
          </w:p>
        </w:tc>
        <w:tc>
          <w:tcPr>
            <w:tcW w:w="1248"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20%</w:t>
            </w:r>
          </w:p>
        </w:tc>
        <w:tc>
          <w:tcPr>
            <w:tcW w:w="1406"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13%</w:t>
            </w:r>
          </w:p>
        </w:tc>
        <w:tc>
          <w:tcPr>
            <w:tcW w:w="1239"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23%</w:t>
            </w:r>
          </w:p>
        </w:tc>
        <w:tc>
          <w:tcPr>
            <w:tcW w:w="1254"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16%</w:t>
            </w:r>
          </w:p>
        </w:tc>
        <w:tc>
          <w:tcPr>
            <w:tcW w:w="1172" w:type="dxa"/>
            <w:shd w:val="clear" w:color="auto" w:fill="auto"/>
            <w:vAlign w:val="center"/>
          </w:tcPr>
          <w:p w:rsidR="00D912E4" w:rsidRPr="00041732" w:rsidRDefault="00C72B49" w:rsidP="00D912E4">
            <w:pPr>
              <w:jc w:val="center"/>
              <w:rPr>
                <w:rFonts w:ascii="Comic Sans MS" w:hAnsi="Comic Sans MS"/>
              </w:rPr>
            </w:pPr>
            <w:r>
              <w:rPr>
                <w:rFonts w:ascii="Comic Sans MS" w:hAnsi="Comic Sans MS"/>
              </w:rPr>
              <w:t>24</w:t>
            </w:r>
            <w:r w:rsidR="00D912E4" w:rsidRPr="00041732">
              <w:rPr>
                <w:rFonts w:ascii="Comic Sans MS" w:hAnsi="Comic Sans MS"/>
              </w:rPr>
              <w:t>%</w:t>
            </w:r>
          </w:p>
        </w:tc>
        <w:tc>
          <w:tcPr>
            <w:tcW w:w="1073" w:type="dxa"/>
            <w:vAlign w:val="center"/>
          </w:tcPr>
          <w:p w:rsidR="00D912E4" w:rsidRPr="00041732" w:rsidRDefault="00A2702F" w:rsidP="00D912E4">
            <w:pPr>
              <w:jc w:val="center"/>
              <w:rPr>
                <w:rFonts w:ascii="Comic Sans MS" w:hAnsi="Comic Sans MS"/>
              </w:rPr>
            </w:pPr>
            <w:r>
              <w:rPr>
                <w:rFonts w:ascii="Comic Sans MS" w:hAnsi="Comic Sans MS"/>
              </w:rPr>
              <w:t>16</w:t>
            </w:r>
            <w:r w:rsidR="00D912E4" w:rsidRPr="00041732">
              <w:rPr>
                <w:rFonts w:ascii="Comic Sans MS" w:hAnsi="Comic Sans MS"/>
              </w:rPr>
              <w:t>%</w:t>
            </w:r>
          </w:p>
        </w:tc>
      </w:tr>
      <w:tr w:rsidR="00D912E4" w:rsidRPr="009D332C" w:rsidTr="00D912E4">
        <w:trPr>
          <w:trHeight w:val="440"/>
        </w:trPr>
        <w:tc>
          <w:tcPr>
            <w:tcW w:w="1850" w:type="dxa"/>
            <w:vAlign w:val="center"/>
          </w:tcPr>
          <w:p w:rsidR="00D912E4" w:rsidRPr="009D332C" w:rsidRDefault="00D912E4" w:rsidP="00D912E4">
            <w:pPr>
              <w:jc w:val="center"/>
              <w:rPr>
                <w:rFonts w:ascii="Comic Sans MS" w:hAnsi="Comic Sans MS"/>
              </w:rPr>
            </w:pPr>
            <w:r>
              <w:rPr>
                <w:rFonts w:ascii="Comic Sans MS" w:hAnsi="Comic Sans MS"/>
              </w:rPr>
              <w:t>Maths EXS</w:t>
            </w:r>
          </w:p>
        </w:tc>
        <w:tc>
          <w:tcPr>
            <w:tcW w:w="1248"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97%</w:t>
            </w:r>
          </w:p>
        </w:tc>
        <w:tc>
          <w:tcPr>
            <w:tcW w:w="1406"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73%</w:t>
            </w:r>
          </w:p>
        </w:tc>
        <w:tc>
          <w:tcPr>
            <w:tcW w:w="1239"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87%</w:t>
            </w:r>
          </w:p>
        </w:tc>
        <w:tc>
          <w:tcPr>
            <w:tcW w:w="1254"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75%</w:t>
            </w:r>
          </w:p>
        </w:tc>
        <w:tc>
          <w:tcPr>
            <w:tcW w:w="1172" w:type="dxa"/>
            <w:shd w:val="clear" w:color="auto" w:fill="auto"/>
            <w:vAlign w:val="center"/>
          </w:tcPr>
          <w:p w:rsidR="00D912E4" w:rsidRPr="00041732" w:rsidRDefault="00426BD6" w:rsidP="00D912E4">
            <w:pPr>
              <w:jc w:val="center"/>
              <w:rPr>
                <w:rFonts w:ascii="Comic Sans MS" w:hAnsi="Comic Sans MS"/>
              </w:rPr>
            </w:pPr>
            <w:r>
              <w:rPr>
                <w:rFonts w:ascii="Comic Sans MS" w:hAnsi="Comic Sans MS"/>
              </w:rPr>
              <w:t>90</w:t>
            </w:r>
            <w:r w:rsidR="00D912E4" w:rsidRPr="00041732">
              <w:rPr>
                <w:rFonts w:ascii="Comic Sans MS" w:hAnsi="Comic Sans MS"/>
              </w:rPr>
              <w:t>%</w:t>
            </w:r>
          </w:p>
        </w:tc>
        <w:tc>
          <w:tcPr>
            <w:tcW w:w="1073" w:type="dxa"/>
            <w:vAlign w:val="center"/>
          </w:tcPr>
          <w:p w:rsidR="00D912E4" w:rsidRPr="00041732" w:rsidRDefault="00A2702F" w:rsidP="00D912E4">
            <w:pPr>
              <w:jc w:val="center"/>
              <w:rPr>
                <w:rFonts w:ascii="Comic Sans MS" w:hAnsi="Comic Sans MS"/>
              </w:rPr>
            </w:pPr>
            <w:r>
              <w:rPr>
                <w:rFonts w:ascii="Comic Sans MS" w:hAnsi="Comic Sans MS"/>
              </w:rPr>
              <w:t>76</w:t>
            </w:r>
            <w:r w:rsidR="00D912E4" w:rsidRPr="00041732">
              <w:rPr>
                <w:rFonts w:ascii="Comic Sans MS" w:hAnsi="Comic Sans MS"/>
              </w:rPr>
              <w:t>%</w:t>
            </w:r>
          </w:p>
        </w:tc>
      </w:tr>
      <w:tr w:rsidR="00D912E4" w:rsidRPr="009D332C" w:rsidTr="00D912E4">
        <w:trPr>
          <w:trHeight w:val="366"/>
        </w:trPr>
        <w:tc>
          <w:tcPr>
            <w:tcW w:w="1850" w:type="dxa"/>
            <w:vAlign w:val="center"/>
          </w:tcPr>
          <w:p w:rsidR="00D912E4" w:rsidRPr="009D332C" w:rsidRDefault="00D912E4" w:rsidP="00D912E4">
            <w:pPr>
              <w:jc w:val="center"/>
              <w:rPr>
                <w:rFonts w:ascii="Comic Sans MS" w:hAnsi="Comic Sans MS"/>
              </w:rPr>
            </w:pPr>
            <w:r>
              <w:rPr>
                <w:rFonts w:ascii="Comic Sans MS" w:hAnsi="Comic Sans MS"/>
              </w:rPr>
              <w:t>Maths GDS</w:t>
            </w:r>
          </w:p>
        </w:tc>
        <w:tc>
          <w:tcPr>
            <w:tcW w:w="1248"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17%</w:t>
            </w:r>
          </w:p>
        </w:tc>
        <w:tc>
          <w:tcPr>
            <w:tcW w:w="1406"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18%</w:t>
            </w:r>
          </w:p>
        </w:tc>
        <w:tc>
          <w:tcPr>
            <w:tcW w:w="1239"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19%</w:t>
            </w:r>
          </w:p>
        </w:tc>
        <w:tc>
          <w:tcPr>
            <w:tcW w:w="1254" w:type="dxa"/>
            <w:shd w:val="clear" w:color="auto" w:fill="auto"/>
            <w:vAlign w:val="center"/>
          </w:tcPr>
          <w:p w:rsidR="00D912E4" w:rsidRPr="00041732" w:rsidRDefault="00D912E4" w:rsidP="00D912E4">
            <w:pPr>
              <w:jc w:val="center"/>
              <w:rPr>
                <w:rFonts w:ascii="Comic Sans MS" w:hAnsi="Comic Sans MS"/>
              </w:rPr>
            </w:pPr>
            <w:r w:rsidRPr="00041732">
              <w:rPr>
                <w:rFonts w:ascii="Comic Sans MS" w:hAnsi="Comic Sans MS"/>
              </w:rPr>
              <w:t>21%</w:t>
            </w:r>
          </w:p>
        </w:tc>
        <w:tc>
          <w:tcPr>
            <w:tcW w:w="1172" w:type="dxa"/>
            <w:shd w:val="clear" w:color="auto" w:fill="auto"/>
            <w:vAlign w:val="center"/>
          </w:tcPr>
          <w:p w:rsidR="00D912E4" w:rsidRPr="00041732" w:rsidRDefault="00426BD6" w:rsidP="00D912E4">
            <w:pPr>
              <w:jc w:val="center"/>
              <w:rPr>
                <w:rFonts w:ascii="Comic Sans MS" w:hAnsi="Comic Sans MS"/>
              </w:rPr>
            </w:pPr>
            <w:r>
              <w:rPr>
                <w:rFonts w:ascii="Comic Sans MS" w:hAnsi="Comic Sans MS"/>
              </w:rPr>
              <w:t>28</w:t>
            </w:r>
            <w:r w:rsidR="00D912E4" w:rsidRPr="00041732">
              <w:rPr>
                <w:rFonts w:ascii="Comic Sans MS" w:hAnsi="Comic Sans MS"/>
              </w:rPr>
              <w:t>%</w:t>
            </w:r>
          </w:p>
        </w:tc>
        <w:tc>
          <w:tcPr>
            <w:tcW w:w="1073" w:type="dxa"/>
            <w:vAlign w:val="center"/>
          </w:tcPr>
          <w:p w:rsidR="00D912E4" w:rsidRPr="00041732" w:rsidRDefault="00A2702F" w:rsidP="00D912E4">
            <w:pPr>
              <w:jc w:val="center"/>
              <w:rPr>
                <w:rFonts w:ascii="Comic Sans MS" w:hAnsi="Comic Sans MS"/>
              </w:rPr>
            </w:pPr>
            <w:r>
              <w:rPr>
                <w:rFonts w:ascii="Comic Sans MS" w:hAnsi="Comic Sans MS"/>
              </w:rPr>
              <w:t>22</w:t>
            </w:r>
            <w:r w:rsidR="00D912E4" w:rsidRPr="00041732">
              <w:rPr>
                <w:rFonts w:ascii="Comic Sans MS" w:hAnsi="Comic Sans MS"/>
              </w:rPr>
              <w:t>%</w:t>
            </w:r>
          </w:p>
        </w:tc>
      </w:tr>
    </w:tbl>
    <w:p w:rsidR="00041732" w:rsidRDefault="00041732" w:rsidP="004D5C2E">
      <w:r>
        <w:t>EXS = Expected Standard   GDS = Greater Depth Standard</w:t>
      </w:r>
    </w:p>
    <w:p w:rsidR="00426BD6" w:rsidRDefault="00426BD6" w:rsidP="004D5C2E"/>
    <w:p w:rsidR="00426BD6" w:rsidRPr="008B56B1" w:rsidRDefault="00426BD6" w:rsidP="004D5C2E">
      <w:pPr>
        <w:rPr>
          <w:b/>
          <w:u w:val="single"/>
        </w:rPr>
      </w:pPr>
      <w:r w:rsidRPr="008B56B1">
        <w:rPr>
          <w:b/>
          <w:u w:val="single"/>
        </w:rPr>
        <w:t>Key Stage 2 SATS</w:t>
      </w:r>
    </w:p>
    <w:p w:rsidR="00426BD6" w:rsidRDefault="00426BD6" w:rsidP="004D5C2E"/>
    <w:p w:rsidR="00426BD6" w:rsidRDefault="00426BD6" w:rsidP="004D5C2E">
      <w:r>
        <w:t xml:space="preserve">In Year 6 children take tests in Reading, Mathematics and Grammar, Punctuation and Spelling. These usually take place in the second week in May. </w:t>
      </w:r>
    </w:p>
    <w:p w:rsidR="00426BD6" w:rsidRDefault="00426BD6" w:rsidP="004D5C2E">
      <w:r>
        <w:t>Our results are as follows:</w:t>
      </w:r>
    </w:p>
    <w:tbl>
      <w:tblPr>
        <w:tblpPr w:leftFromText="180" w:rightFromText="180" w:vertAnchor="text" w:horzAnchor="margin" w:tblpXSpec="center" w:tblpY="210"/>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9"/>
        <w:gridCol w:w="1199"/>
        <w:gridCol w:w="1199"/>
        <w:gridCol w:w="1199"/>
        <w:gridCol w:w="938"/>
        <w:gridCol w:w="1134"/>
        <w:gridCol w:w="919"/>
      </w:tblGrid>
      <w:tr w:rsidR="009F6C19" w:rsidRPr="001E6629" w:rsidTr="009F6C19">
        <w:trPr>
          <w:trHeight w:val="434"/>
        </w:trPr>
        <w:tc>
          <w:tcPr>
            <w:tcW w:w="1669" w:type="dxa"/>
            <w:shd w:val="clear" w:color="auto" w:fill="B8CCE4"/>
          </w:tcPr>
          <w:p w:rsidR="009F6C19" w:rsidRDefault="009F6C19" w:rsidP="009F6C19">
            <w:pPr>
              <w:rPr>
                <w:rFonts w:ascii="Comic Sans MS" w:hAnsi="Comic Sans MS" w:cs="Arial"/>
              </w:rPr>
            </w:pPr>
          </w:p>
        </w:tc>
        <w:tc>
          <w:tcPr>
            <w:tcW w:w="1199" w:type="dxa"/>
            <w:shd w:val="clear" w:color="auto" w:fill="B8CCE4"/>
          </w:tcPr>
          <w:p w:rsidR="009F6C19" w:rsidRDefault="009F6C19" w:rsidP="009F6C19">
            <w:pPr>
              <w:jc w:val="center"/>
              <w:rPr>
                <w:rFonts w:ascii="Comic Sans MS" w:hAnsi="Comic Sans MS" w:cs="Arial"/>
                <w:sz w:val="20"/>
                <w:szCs w:val="20"/>
              </w:rPr>
            </w:pPr>
            <w:r>
              <w:rPr>
                <w:rFonts w:ascii="Comic Sans MS" w:hAnsi="Comic Sans MS" w:cs="Arial"/>
                <w:sz w:val="20"/>
                <w:szCs w:val="20"/>
              </w:rPr>
              <w:t>Results</w:t>
            </w:r>
          </w:p>
          <w:p w:rsidR="009F6C19" w:rsidRDefault="009F6C19" w:rsidP="009F6C19">
            <w:pPr>
              <w:jc w:val="center"/>
              <w:rPr>
                <w:rFonts w:ascii="Comic Sans MS" w:hAnsi="Comic Sans MS" w:cs="Arial"/>
                <w:sz w:val="20"/>
                <w:szCs w:val="20"/>
              </w:rPr>
            </w:pPr>
            <w:r>
              <w:rPr>
                <w:rFonts w:ascii="Comic Sans MS" w:hAnsi="Comic Sans MS" w:cs="Arial"/>
                <w:sz w:val="20"/>
                <w:szCs w:val="20"/>
              </w:rPr>
              <w:t>2016</w:t>
            </w:r>
          </w:p>
          <w:p w:rsidR="009F6C19" w:rsidRPr="00373E3B" w:rsidRDefault="009F6C19" w:rsidP="009F6C19">
            <w:pPr>
              <w:jc w:val="center"/>
              <w:rPr>
                <w:rFonts w:ascii="Comic Sans MS" w:hAnsi="Comic Sans MS" w:cs="Arial"/>
                <w:sz w:val="20"/>
                <w:szCs w:val="20"/>
              </w:rPr>
            </w:pPr>
            <w:r>
              <w:rPr>
                <w:rFonts w:ascii="Comic Sans MS" w:hAnsi="Comic Sans MS" w:cs="Arial"/>
                <w:sz w:val="20"/>
                <w:szCs w:val="20"/>
              </w:rPr>
              <w:t>School</w:t>
            </w:r>
          </w:p>
        </w:tc>
        <w:tc>
          <w:tcPr>
            <w:tcW w:w="1199" w:type="dxa"/>
            <w:shd w:val="clear" w:color="auto" w:fill="B8CCE4"/>
          </w:tcPr>
          <w:p w:rsidR="009F6C19" w:rsidRDefault="009F6C19" w:rsidP="009F6C19">
            <w:pPr>
              <w:jc w:val="center"/>
              <w:rPr>
                <w:rFonts w:ascii="Comic Sans MS" w:hAnsi="Comic Sans MS" w:cs="Arial"/>
                <w:sz w:val="20"/>
                <w:szCs w:val="20"/>
              </w:rPr>
            </w:pPr>
            <w:r>
              <w:rPr>
                <w:rFonts w:ascii="Comic Sans MS" w:hAnsi="Comic Sans MS" w:cs="Arial"/>
                <w:sz w:val="20"/>
                <w:szCs w:val="20"/>
              </w:rPr>
              <w:t>Nat</w:t>
            </w:r>
          </w:p>
          <w:p w:rsidR="009F6C19" w:rsidRDefault="009F6C19" w:rsidP="009F6C19">
            <w:pPr>
              <w:jc w:val="center"/>
              <w:rPr>
                <w:rFonts w:ascii="Comic Sans MS" w:hAnsi="Comic Sans MS" w:cs="Arial"/>
                <w:sz w:val="20"/>
                <w:szCs w:val="20"/>
              </w:rPr>
            </w:pPr>
            <w:r>
              <w:rPr>
                <w:rFonts w:ascii="Comic Sans MS" w:hAnsi="Comic Sans MS" w:cs="Arial"/>
                <w:sz w:val="20"/>
                <w:szCs w:val="20"/>
              </w:rPr>
              <w:t>2016</w:t>
            </w:r>
          </w:p>
          <w:p w:rsidR="009F6C19" w:rsidRPr="00373E3B" w:rsidRDefault="009F6C19" w:rsidP="009F6C19">
            <w:pPr>
              <w:jc w:val="center"/>
              <w:rPr>
                <w:rFonts w:ascii="Comic Sans MS" w:hAnsi="Comic Sans MS" w:cs="Arial"/>
                <w:sz w:val="20"/>
                <w:szCs w:val="20"/>
              </w:rPr>
            </w:pPr>
          </w:p>
        </w:tc>
        <w:tc>
          <w:tcPr>
            <w:tcW w:w="1199" w:type="dxa"/>
            <w:shd w:val="clear" w:color="auto" w:fill="B8CCE4"/>
          </w:tcPr>
          <w:p w:rsidR="009F6C19" w:rsidRDefault="009F6C19" w:rsidP="009F6C19">
            <w:pPr>
              <w:jc w:val="center"/>
              <w:rPr>
                <w:rFonts w:ascii="Comic Sans MS" w:hAnsi="Comic Sans MS" w:cs="Arial"/>
                <w:sz w:val="20"/>
                <w:szCs w:val="20"/>
              </w:rPr>
            </w:pPr>
            <w:r w:rsidRPr="00373E3B">
              <w:rPr>
                <w:rFonts w:ascii="Comic Sans MS" w:hAnsi="Comic Sans MS" w:cs="Arial"/>
                <w:sz w:val="20"/>
                <w:szCs w:val="20"/>
              </w:rPr>
              <w:t>Results 2017</w:t>
            </w:r>
          </w:p>
          <w:p w:rsidR="009F6C19" w:rsidRPr="00373E3B" w:rsidRDefault="009F6C19" w:rsidP="009F6C19">
            <w:pPr>
              <w:jc w:val="center"/>
              <w:rPr>
                <w:rFonts w:ascii="Comic Sans MS" w:hAnsi="Comic Sans MS" w:cs="Arial"/>
                <w:sz w:val="20"/>
                <w:szCs w:val="20"/>
              </w:rPr>
            </w:pPr>
            <w:r>
              <w:rPr>
                <w:rFonts w:ascii="Comic Sans MS" w:hAnsi="Comic Sans MS" w:cs="Arial"/>
                <w:sz w:val="20"/>
                <w:szCs w:val="20"/>
              </w:rPr>
              <w:t>School</w:t>
            </w:r>
          </w:p>
        </w:tc>
        <w:tc>
          <w:tcPr>
            <w:tcW w:w="938" w:type="dxa"/>
            <w:shd w:val="clear" w:color="auto" w:fill="B8CCE4"/>
          </w:tcPr>
          <w:p w:rsidR="009F6C19" w:rsidRPr="00373E3B" w:rsidRDefault="009F6C19" w:rsidP="009F6C19">
            <w:pPr>
              <w:jc w:val="center"/>
              <w:rPr>
                <w:rFonts w:ascii="Comic Sans MS" w:hAnsi="Comic Sans MS" w:cs="Arial"/>
                <w:sz w:val="20"/>
                <w:szCs w:val="20"/>
              </w:rPr>
            </w:pPr>
            <w:r>
              <w:rPr>
                <w:rFonts w:ascii="Comic Sans MS" w:hAnsi="Comic Sans MS" w:cs="Arial"/>
                <w:sz w:val="20"/>
                <w:szCs w:val="20"/>
              </w:rPr>
              <w:t>Nat</w:t>
            </w:r>
            <w:r w:rsidRPr="00373E3B">
              <w:rPr>
                <w:rFonts w:ascii="Comic Sans MS" w:hAnsi="Comic Sans MS" w:cs="Arial"/>
                <w:sz w:val="20"/>
                <w:szCs w:val="20"/>
              </w:rPr>
              <w:t xml:space="preserve"> 2017</w:t>
            </w:r>
          </w:p>
        </w:tc>
        <w:tc>
          <w:tcPr>
            <w:tcW w:w="1134" w:type="dxa"/>
            <w:shd w:val="clear" w:color="auto" w:fill="B8CCE4"/>
          </w:tcPr>
          <w:p w:rsidR="009F6C19" w:rsidRDefault="009F6C19" w:rsidP="009F6C19">
            <w:pPr>
              <w:jc w:val="center"/>
              <w:rPr>
                <w:rFonts w:ascii="Comic Sans MS" w:hAnsi="Comic Sans MS" w:cs="Arial"/>
                <w:sz w:val="20"/>
                <w:szCs w:val="20"/>
              </w:rPr>
            </w:pPr>
            <w:r>
              <w:rPr>
                <w:rFonts w:ascii="Comic Sans MS" w:hAnsi="Comic Sans MS" w:cs="Arial"/>
                <w:sz w:val="20"/>
                <w:szCs w:val="20"/>
              </w:rPr>
              <w:t>Results 2018</w:t>
            </w:r>
          </w:p>
          <w:p w:rsidR="009F6C19" w:rsidRPr="00373E3B" w:rsidRDefault="009F6C19" w:rsidP="009F6C19">
            <w:pPr>
              <w:jc w:val="center"/>
              <w:rPr>
                <w:rFonts w:ascii="Comic Sans MS" w:hAnsi="Comic Sans MS" w:cs="Arial"/>
                <w:sz w:val="20"/>
                <w:szCs w:val="20"/>
              </w:rPr>
            </w:pPr>
            <w:r>
              <w:rPr>
                <w:rFonts w:ascii="Comic Sans MS" w:hAnsi="Comic Sans MS" w:cs="Arial"/>
                <w:sz w:val="20"/>
                <w:szCs w:val="20"/>
              </w:rPr>
              <w:t>School</w:t>
            </w:r>
          </w:p>
        </w:tc>
        <w:tc>
          <w:tcPr>
            <w:tcW w:w="919" w:type="dxa"/>
            <w:shd w:val="clear" w:color="auto" w:fill="B8CCE4"/>
          </w:tcPr>
          <w:p w:rsidR="009F6C19" w:rsidRPr="00373E3B" w:rsidRDefault="009F6C19" w:rsidP="009F6C19">
            <w:pPr>
              <w:jc w:val="center"/>
              <w:rPr>
                <w:rFonts w:ascii="Comic Sans MS" w:hAnsi="Comic Sans MS" w:cs="Arial"/>
                <w:sz w:val="20"/>
                <w:szCs w:val="20"/>
              </w:rPr>
            </w:pPr>
            <w:r>
              <w:rPr>
                <w:rFonts w:ascii="Comic Sans MS" w:hAnsi="Comic Sans MS" w:cs="Arial"/>
                <w:sz w:val="20"/>
                <w:szCs w:val="20"/>
              </w:rPr>
              <w:t>Nat 2018</w:t>
            </w:r>
          </w:p>
        </w:tc>
      </w:tr>
      <w:tr w:rsidR="009F6C19" w:rsidRPr="001E6629" w:rsidTr="009F6C19">
        <w:trPr>
          <w:trHeight w:val="434"/>
        </w:trPr>
        <w:tc>
          <w:tcPr>
            <w:tcW w:w="1669" w:type="dxa"/>
            <w:vAlign w:val="center"/>
          </w:tcPr>
          <w:p w:rsidR="009F6C19" w:rsidRPr="00A51F2C" w:rsidRDefault="009F6C19" w:rsidP="009F6C19">
            <w:pPr>
              <w:rPr>
                <w:rFonts w:ascii="Comic Sans MS" w:hAnsi="Comic Sans MS" w:cs="Arial"/>
                <w:sz w:val="20"/>
                <w:szCs w:val="20"/>
              </w:rPr>
            </w:pPr>
            <w:r w:rsidRPr="00A51F2C">
              <w:rPr>
                <w:rFonts w:ascii="Comic Sans MS" w:hAnsi="Comic Sans MS" w:cs="Arial"/>
                <w:sz w:val="20"/>
                <w:szCs w:val="20"/>
              </w:rPr>
              <w:t>RWM EXS</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82%</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53%</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sidRPr="006F7B1E">
              <w:rPr>
                <w:rFonts w:ascii="Comic Sans MS" w:hAnsi="Comic Sans MS" w:cs="Arial"/>
                <w:b/>
                <w:sz w:val="20"/>
                <w:szCs w:val="20"/>
              </w:rPr>
              <w:t>68%</w:t>
            </w:r>
          </w:p>
        </w:tc>
        <w:tc>
          <w:tcPr>
            <w:tcW w:w="938" w:type="dxa"/>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61%</w:t>
            </w:r>
          </w:p>
        </w:tc>
        <w:tc>
          <w:tcPr>
            <w:tcW w:w="1134" w:type="dxa"/>
            <w:shd w:val="clear" w:color="auto" w:fill="auto"/>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77%</w:t>
            </w:r>
          </w:p>
        </w:tc>
        <w:tc>
          <w:tcPr>
            <w:tcW w:w="919" w:type="dxa"/>
            <w:shd w:val="clear" w:color="auto" w:fill="auto"/>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64%</w:t>
            </w:r>
          </w:p>
        </w:tc>
      </w:tr>
      <w:tr w:rsidR="009F6C19" w:rsidRPr="001E6629" w:rsidTr="00924A50">
        <w:trPr>
          <w:trHeight w:val="434"/>
        </w:trPr>
        <w:tc>
          <w:tcPr>
            <w:tcW w:w="1669" w:type="dxa"/>
            <w:vAlign w:val="bottom"/>
          </w:tcPr>
          <w:p w:rsidR="009F6C19" w:rsidRPr="00A51F2C" w:rsidRDefault="009F6C19" w:rsidP="009F6C19">
            <w:pPr>
              <w:rPr>
                <w:rFonts w:ascii="Comic Sans MS" w:hAnsi="Comic Sans MS" w:cs="Arial"/>
                <w:b/>
                <w:sz w:val="20"/>
                <w:szCs w:val="20"/>
              </w:rPr>
            </w:pPr>
            <w:r w:rsidRPr="00A51F2C">
              <w:rPr>
                <w:rFonts w:ascii="Comic Sans MS" w:hAnsi="Comic Sans MS" w:cs="Arial"/>
                <w:sz w:val="20"/>
                <w:szCs w:val="20"/>
              </w:rPr>
              <w:t>RWM GDS</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11%</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5%</w:t>
            </w:r>
          </w:p>
        </w:tc>
        <w:tc>
          <w:tcPr>
            <w:tcW w:w="1199" w:type="dxa"/>
            <w:shd w:val="clear" w:color="auto" w:fill="auto"/>
            <w:vAlign w:val="center"/>
          </w:tcPr>
          <w:p w:rsidR="009F6C19" w:rsidRPr="006F7B1E" w:rsidRDefault="009F6C19" w:rsidP="00924A50">
            <w:pPr>
              <w:jc w:val="center"/>
              <w:rPr>
                <w:rFonts w:ascii="Comic Sans MS" w:hAnsi="Comic Sans MS" w:cs="Arial"/>
                <w:b/>
                <w:sz w:val="20"/>
                <w:szCs w:val="20"/>
              </w:rPr>
            </w:pPr>
            <w:r w:rsidRPr="006F7B1E">
              <w:rPr>
                <w:rFonts w:ascii="Comic Sans MS" w:hAnsi="Comic Sans MS" w:cs="Arial"/>
                <w:b/>
                <w:sz w:val="20"/>
                <w:szCs w:val="20"/>
              </w:rPr>
              <w:t>21%</w:t>
            </w:r>
          </w:p>
        </w:tc>
        <w:tc>
          <w:tcPr>
            <w:tcW w:w="938" w:type="dxa"/>
            <w:vAlign w:val="center"/>
          </w:tcPr>
          <w:p w:rsidR="009F6C19" w:rsidRPr="00A51F2C" w:rsidRDefault="009F6C19" w:rsidP="00924A50">
            <w:pPr>
              <w:jc w:val="center"/>
              <w:rPr>
                <w:rFonts w:ascii="Comic Sans MS" w:hAnsi="Comic Sans MS" w:cs="Arial"/>
                <w:b/>
                <w:sz w:val="20"/>
                <w:szCs w:val="20"/>
              </w:rPr>
            </w:pPr>
            <w:r>
              <w:rPr>
                <w:rFonts w:ascii="Comic Sans MS" w:hAnsi="Comic Sans MS" w:cs="Arial"/>
                <w:b/>
                <w:sz w:val="20"/>
                <w:szCs w:val="20"/>
              </w:rPr>
              <w:t>9%</w:t>
            </w:r>
          </w:p>
        </w:tc>
        <w:tc>
          <w:tcPr>
            <w:tcW w:w="1134" w:type="dxa"/>
            <w:shd w:val="clear" w:color="auto" w:fill="auto"/>
            <w:vAlign w:val="center"/>
          </w:tcPr>
          <w:p w:rsidR="009F6C19" w:rsidRPr="00A51F2C" w:rsidRDefault="009F6C19" w:rsidP="00924A50">
            <w:pPr>
              <w:jc w:val="center"/>
              <w:rPr>
                <w:rFonts w:ascii="Comic Sans MS" w:hAnsi="Comic Sans MS" w:cs="Arial"/>
                <w:b/>
                <w:sz w:val="20"/>
                <w:szCs w:val="20"/>
              </w:rPr>
            </w:pPr>
            <w:r>
              <w:rPr>
                <w:rFonts w:ascii="Comic Sans MS" w:hAnsi="Comic Sans MS" w:cs="Arial"/>
                <w:b/>
                <w:sz w:val="20"/>
                <w:szCs w:val="20"/>
              </w:rPr>
              <w:t>13%</w:t>
            </w:r>
          </w:p>
        </w:tc>
        <w:tc>
          <w:tcPr>
            <w:tcW w:w="919" w:type="dxa"/>
            <w:shd w:val="clear" w:color="auto" w:fill="auto"/>
            <w:vAlign w:val="center"/>
          </w:tcPr>
          <w:p w:rsidR="009F6C19" w:rsidRPr="00A51F2C" w:rsidRDefault="009F6C19" w:rsidP="00924A50">
            <w:pPr>
              <w:jc w:val="center"/>
              <w:rPr>
                <w:rFonts w:ascii="Comic Sans MS" w:hAnsi="Comic Sans MS" w:cs="Arial"/>
                <w:b/>
                <w:sz w:val="20"/>
                <w:szCs w:val="20"/>
              </w:rPr>
            </w:pPr>
            <w:r>
              <w:rPr>
                <w:rFonts w:ascii="Comic Sans MS" w:hAnsi="Comic Sans MS" w:cs="Arial"/>
                <w:b/>
                <w:sz w:val="20"/>
                <w:szCs w:val="20"/>
              </w:rPr>
              <w:t>10%</w:t>
            </w:r>
          </w:p>
        </w:tc>
      </w:tr>
      <w:tr w:rsidR="009F6C19" w:rsidRPr="001E6629" w:rsidTr="009F6C19">
        <w:trPr>
          <w:trHeight w:val="434"/>
        </w:trPr>
        <w:tc>
          <w:tcPr>
            <w:tcW w:w="1669" w:type="dxa"/>
            <w:vAlign w:val="bottom"/>
          </w:tcPr>
          <w:p w:rsidR="009F6C19" w:rsidRPr="00A51F2C" w:rsidRDefault="009F6C19" w:rsidP="009F6C19">
            <w:pPr>
              <w:rPr>
                <w:rFonts w:ascii="Comic Sans MS" w:hAnsi="Comic Sans MS" w:cs="Arial"/>
                <w:sz w:val="20"/>
                <w:szCs w:val="20"/>
              </w:rPr>
            </w:pPr>
            <w:r w:rsidRPr="00A51F2C">
              <w:rPr>
                <w:rFonts w:ascii="Comic Sans MS" w:hAnsi="Comic Sans MS" w:cs="Arial"/>
                <w:sz w:val="20"/>
                <w:szCs w:val="20"/>
              </w:rPr>
              <w:t>Reading EXS</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89%</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66%</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sidRPr="006F7B1E">
              <w:rPr>
                <w:rFonts w:ascii="Comic Sans MS" w:hAnsi="Comic Sans MS" w:cs="Arial"/>
                <w:b/>
                <w:sz w:val="20"/>
                <w:szCs w:val="20"/>
              </w:rPr>
              <w:t>74%</w:t>
            </w:r>
          </w:p>
        </w:tc>
        <w:tc>
          <w:tcPr>
            <w:tcW w:w="938" w:type="dxa"/>
            <w:vAlign w:val="center"/>
          </w:tcPr>
          <w:p w:rsidR="009F6C19" w:rsidRDefault="009F6C19" w:rsidP="009F6C19">
            <w:pPr>
              <w:jc w:val="center"/>
              <w:rPr>
                <w:rFonts w:ascii="Comic Sans MS" w:hAnsi="Comic Sans MS" w:cs="Arial"/>
                <w:b/>
                <w:sz w:val="20"/>
                <w:szCs w:val="20"/>
              </w:rPr>
            </w:pPr>
            <w:r>
              <w:rPr>
                <w:rFonts w:ascii="Comic Sans MS" w:hAnsi="Comic Sans MS" w:cs="Arial"/>
                <w:b/>
                <w:sz w:val="20"/>
                <w:szCs w:val="20"/>
              </w:rPr>
              <w:t>71%</w:t>
            </w:r>
          </w:p>
        </w:tc>
        <w:tc>
          <w:tcPr>
            <w:tcW w:w="1134" w:type="dxa"/>
            <w:shd w:val="clear" w:color="auto" w:fill="auto"/>
            <w:vAlign w:val="center"/>
          </w:tcPr>
          <w:p w:rsidR="009F6C19" w:rsidRDefault="009F6C19" w:rsidP="009F6C19">
            <w:pPr>
              <w:jc w:val="center"/>
              <w:rPr>
                <w:rFonts w:ascii="Comic Sans MS" w:hAnsi="Comic Sans MS" w:cs="Arial"/>
                <w:b/>
                <w:sz w:val="20"/>
                <w:szCs w:val="20"/>
              </w:rPr>
            </w:pPr>
            <w:r>
              <w:rPr>
                <w:rFonts w:ascii="Comic Sans MS" w:hAnsi="Comic Sans MS" w:cs="Arial"/>
                <w:b/>
                <w:sz w:val="20"/>
                <w:szCs w:val="20"/>
              </w:rPr>
              <w:t>77%</w:t>
            </w:r>
          </w:p>
        </w:tc>
        <w:tc>
          <w:tcPr>
            <w:tcW w:w="919" w:type="dxa"/>
            <w:shd w:val="clear" w:color="auto" w:fill="auto"/>
            <w:vAlign w:val="center"/>
          </w:tcPr>
          <w:p w:rsidR="009F6C19" w:rsidRDefault="009F6C19" w:rsidP="009F6C19">
            <w:pPr>
              <w:jc w:val="center"/>
              <w:rPr>
                <w:rFonts w:ascii="Comic Sans MS" w:hAnsi="Comic Sans MS" w:cs="Arial"/>
                <w:b/>
                <w:sz w:val="20"/>
                <w:szCs w:val="20"/>
              </w:rPr>
            </w:pPr>
            <w:r>
              <w:rPr>
                <w:rFonts w:ascii="Comic Sans MS" w:hAnsi="Comic Sans MS" w:cs="Arial"/>
                <w:b/>
                <w:sz w:val="20"/>
                <w:szCs w:val="20"/>
              </w:rPr>
              <w:t>75%</w:t>
            </w:r>
          </w:p>
        </w:tc>
      </w:tr>
      <w:tr w:rsidR="009F6C19" w:rsidRPr="001E6629" w:rsidTr="009F6C19">
        <w:trPr>
          <w:trHeight w:val="455"/>
        </w:trPr>
        <w:tc>
          <w:tcPr>
            <w:tcW w:w="1669" w:type="dxa"/>
            <w:tcBorders>
              <w:bottom w:val="single" w:sz="4" w:space="0" w:color="auto"/>
            </w:tcBorders>
            <w:vAlign w:val="bottom"/>
          </w:tcPr>
          <w:p w:rsidR="009F6C19" w:rsidRPr="00A51F2C" w:rsidRDefault="009F6C19" w:rsidP="009F6C19">
            <w:pPr>
              <w:rPr>
                <w:rFonts w:ascii="Comic Sans MS" w:hAnsi="Comic Sans MS" w:cs="Arial"/>
                <w:sz w:val="20"/>
                <w:szCs w:val="20"/>
              </w:rPr>
            </w:pPr>
            <w:r w:rsidRPr="00A51F2C">
              <w:rPr>
                <w:rFonts w:ascii="Comic Sans MS" w:hAnsi="Comic Sans MS" w:cs="Arial"/>
                <w:sz w:val="20"/>
                <w:szCs w:val="20"/>
              </w:rPr>
              <w:t>Reading GDS</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18%</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19%</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sidRPr="006F7B1E">
              <w:rPr>
                <w:rFonts w:ascii="Comic Sans MS" w:hAnsi="Comic Sans MS" w:cs="Arial"/>
                <w:b/>
                <w:sz w:val="20"/>
                <w:szCs w:val="20"/>
              </w:rPr>
              <w:t>32%</w:t>
            </w:r>
          </w:p>
        </w:tc>
        <w:tc>
          <w:tcPr>
            <w:tcW w:w="938" w:type="dxa"/>
            <w:tcBorders>
              <w:bottom w:val="single" w:sz="4" w:space="0" w:color="auto"/>
            </w:tcBorders>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25%</w:t>
            </w:r>
          </w:p>
        </w:tc>
        <w:tc>
          <w:tcPr>
            <w:tcW w:w="1134" w:type="dxa"/>
            <w:tcBorders>
              <w:bottom w:val="single" w:sz="4" w:space="0" w:color="auto"/>
            </w:tcBorders>
            <w:shd w:val="clear" w:color="auto" w:fill="auto"/>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27%</w:t>
            </w:r>
          </w:p>
        </w:tc>
        <w:tc>
          <w:tcPr>
            <w:tcW w:w="919" w:type="dxa"/>
            <w:tcBorders>
              <w:bottom w:val="single" w:sz="4" w:space="0" w:color="auto"/>
            </w:tcBorders>
            <w:shd w:val="clear" w:color="auto" w:fill="auto"/>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28%</w:t>
            </w:r>
          </w:p>
        </w:tc>
      </w:tr>
      <w:tr w:rsidR="009F6C19" w:rsidRPr="001E6629" w:rsidTr="009F6C19">
        <w:trPr>
          <w:trHeight w:val="434"/>
        </w:trPr>
        <w:tc>
          <w:tcPr>
            <w:tcW w:w="1669" w:type="dxa"/>
            <w:vAlign w:val="bottom"/>
          </w:tcPr>
          <w:p w:rsidR="009F6C19" w:rsidRPr="00A51F2C" w:rsidRDefault="009F6C19" w:rsidP="009F6C19">
            <w:pPr>
              <w:rPr>
                <w:rFonts w:ascii="Comic Sans MS" w:hAnsi="Comic Sans MS" w:cs="Arial"/>
                <w:sz w:val="20"/>
                <w:szCs w:val="20"/>
              </w:rPr>
            </w:pPr>
            <w:r w:rsidRPr="00A51F2C">
              <w:rPr>
                <w:rFonts w:ascii="Comic Sans MS" w:hAnsi="Comic Sans MS" w:cs="Arial"/>
                <w:sz w:val="20"/>
                <w:szCs w:val="20"/>
              </w:rPr>
              <w:t>Writing EXS</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89%</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74%</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sidRPr="006F7B1E">
              <w:rPr>
                <w:rFonts w:ascii="Comic Sans MS" w:hAnsi="Comic Sans MS" w:cs="Arial"/>
                <w:b/>
                <w:sz w:val="20"/>
                <w:szCs w:val="20"/>
              </w:rPr>
              <w:t>74%</w:t>
            </w:r>
          </w:p>
        </w:tc>
        <w:tc>
          <w:tcPr>
            <w:tcW w:w="938" w:type="dxa"/>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76%</w:t>
            </w:r>
          </w:p>
        </w:tc>
        <w:tc>
          <w:tcPr>
            <w:tcW w:w="1134" w:type="dxa"/>
            <w:shd w:val="clear" w:color="auto" w:fill="auto"/>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83%</w:t>
            </w:r>
          </w:p>
        </w:tc>
        <w:tc>
          <w:tcPr>
            <w:tcW w:w="919" w:type="dxa"/>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78%</w:t>
            </w:r>
          </w:p>
        </w:tc>
      </w:tr>
      <w:tr w:rsidR="009F6C19" w:rsidRPr="001E6629" w:rsidTr="009F6C19">
        <w:trPr>
          <w:trHeight w:val="434"/>
        </w:trPr>
        <w:tc>
          <w:tcPr>
            <w:tcW w:w="1669" w:type="dxa"/>
            <w:tcBorders>
              <w:bottom w:val="single" w:sz="4" w:space="0" w:color="auto"/>
            </w:tcBorders>
            <w:vAlign w:val="bottom"/>
          </w:tcPr>
          <w:p w:rsidR="009F6C19" w:rsidRPr="00A51F2C" w:rsidRDefault="009F6C19" w:rsidP="009F6C19">
            <w:pPr>
              <w:rPr>
                <w:rFonts w:ascii="Comic Sans MS" w:hAnsi="Comic Sans MS" w:cs="Arial"/>
                <w:sz w:val="20"/>
                <w:szCs w:val="20"/>
              </w:rPr>
            </w:pPr>
            <w:r w:rsidRPr="00A51F2C">
              <w:rPr>
                <w:rFonts w:ascii="Comic Sans MS" w:hAnsi="Comic Sans MS" w:cs="Arial"/>
                <w:sz w:val="20"/>
                <w:szCs w:val="20"/>
              </w:rPr>
              <w:t>Writing GDS</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21%</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15%</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sidRPr="006F7B1E">
              <w:rPr>
                <w:rFonts w:ascii="Comic Sans MS" w:hAnsi="Comic Sans MS" w:cs="Arial"/>
                <w:b/>
                <w:sz w:val="20"/>
                <w:szCs w:val="20"/>
              </w:rPr>
              <w:t>32%</w:t>
            </w:r>
          </w:p>
        </w:tc>
        <w:tc>
          <w:tcPr>
            <w:tcW w:w="938" w:type="dxa"/>
            <w:tcBorders>
              <w:bottom w:val="single" w:sz="4" w:space="0" w:color="auto"/>
            </w:tcBorders>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18%</w:t>
            </w:r>
          </w:p>
        </w:tc>
        <w:tc>
          <w:tcPr>
            <w:tcW w:w="1134" w:type="dxa"/>
            <w:tcBorders>
              <w:bottom w:val="single" w:sz="4" w:space="0" w:color="auto"/>
            </w:tcBorders>
            <w:shd w:val="clear" w:color="auto" w:fill="auto"/>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33%</w:t>
            </w:r>
          </w:p>
        </w:tc>
        <w:tc>
          <w:tcPr>
            <w:tcW w:w="919" w:type="dxa"/>
            <w:tcBorders>
              <w:bottom w:val="single" w:sz="4" w:space="0" w:color="auto"/>
            </w:tcBorders>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20%</w:t>
            </w:r>
          </w:p>
        </w:tc>
      </w:tr>
      <w:tr w:rsidR="009F6C19" w:rsidRPr="001E6629" w:rsidTr="009F6C19">
        <w:trPr>
          <w:trHeight w:val="434"/>
        </w:trPr>
        <w:tc>
          <w:tcPr>
            <w:tcW w:w="1669" w:type="dxa"/>
            <w:vAlign w:val="bottom"/>
          </w:tcPr>
          <w:p w:rsidR="009F6C19" w:rsidRPr="00A51F2C" w:rsidRDefault="009F6C19" w:rsidP="009F6C19">
            <w:pPr>
              <w:rPr>
                <w:rFonts w:ascii="Comic Sans MS" w:hAnsi="Comic Sans MS" w:cs="Arial"/>
                <w:sz w:val="20"/>
                <w:szCs w:val="20"/>
              </w:rPr>
            </w:pPr>
            <w:r w:rsidRPr="00A51F2C">
              <w:rPr>
                <w:rFonts w:ascii="Comic Sans MS" w:hAnsi="Comic Sans MS" w:cs="Arial"/>
                <w:sz w:val="20"/>
                <w:szCs w:val="20"/>
              </w:rPr>
              <w:t>Maths EXS</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89%</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70%</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sidRPr="006F7B1E">
              <w:rPr>
                <w:rFonts w:ascii="Comic Sans MS" w:hAnsi="Comic Sans MS" w:cs="Arial"/>
                <w:b/>
                <w:sz w:val="20"/>
                <w:szCs w:val="20"/>
              </w:rPr>
              <w:t>81%</w:t>
            </w:r>
          </w:p>
        </w:tc>
        <w:tc>
          <w:tcPr>
            <w:tcW w:w="938" w:type="dxa"/>
            <w:vAlign w:val="center"/>
          </w:tcPr>
          <w:p w:rsidR="009F6C19" w:rsidRDefault="009F6C19" w:rsidP="009F6C19">
            <w:pPr>
              <w:jc w:val="center"/>
              <w:rPr>
                <w:rFonts w:ascii="Comic Sans MS" w:hAnsi="Comic Sans MS" w:cs="Arial"/>
                <w:b/>
                <w:sz w:val="20"/>
                <w:szCs w:val="20"/>
              </w:rPr>
            </w:pPr>
            <w:r>
              <w:rPr>
                <w:rFonts w:ascii="Comic Sans MS" w:hAnsi="Comic Sans MS" w:cs="Arial"/>
                <w:b/>
                <w:sz w:val="20"/>
                <w:szCs w:val="20"/>
              </w:rPr>
              <w:t>75%</w:t>
            </w:r>
          </w:p>
        </w:tc>
        <w:tc>
          <w:tcPr>
            <w:tcW w:w="1134" w:type="dxa"/>
            <w:shd w:val="clear" w:color="auto" w:fill="auto"/>
            <w:vAlign w:val="center"/>
          </w:tcPr>
          <w:p w:rsidR="009F6C19" w:rsidRDefault="009F6C19" w:rsidP="009F6C19">
            <w:pPr>
              <w:jc w:val="center"/>
              <w:rPr>
                <w:rFonts w:ascii="Comic Sans MS" w:hAnsi="Comic Sans MS" w:cs="Arial"/>
                <w:b/>
                <w:sz w:val="20"/>
                <w:szCs w:val="20"/>
              </w:rPr>
            </w:pPr>
            <w:r>
              <w:rPr>
                <w:rFonts w:ascii="Comic Sans MS" w:hAnsi="Comic Sans MS" w:cs="Arial"/>
                <w:b/>
                <w:sz w:val="20"/>
                <w:szCs w:val="20"/>
              </w:rPr>
              <w:t>87%</w:t>
            </w:r>
          </w:p>
        </w:tc>
        <w:tc>
          <w:tcPr>
            <w:tcW w:w="919" w:type="dxa"/>
            <w:shd w:val="clear" w:color="auto" w:fill="auto"/>
            <w:vAlign w:val="center"/>
          </w:tcPr>
          <w:p w:rsidR="009F6C19" w:rsidRDefault="009F6C19" w:rsidP="009F6C19">
            <w:pPr>
              <w:jc w:val="center"/>
              <w:rPr>
                <w:rFonts w:ascii="Comic Sans MS" w:hAnsi="Comic Sans MS" w:cs="Arial"/>
                <w:b/>
                <w:sz w:val="20"/>
                <w:szCs w:val="20"/>
              </w:rPr>
            </w:pPr>
            <w:r>
              <w:rPr>
                <w:rFonts w:ascii="Comic Sans MS" w:hAnsi="Comic Sans MS" w:cs="Arial"/>
                <w:b/>
                <w:sz w:val="20"/>
                <w:szCs w:val="20"/>
              </w:rPr>
              <w:t>76%</w:t>
            </w:r>
          </w:p>
        </w:tc>
      </w:tr>
      <w:tr w:rsidR="009F6C19" w:rsidRPr="001E6629" w:rsidTr="009F6C19">
        <w:trPr>
          <w:trHeight w:val="434"/>
        </w:trPr>
        <w:tc>
          <w:tcPr>
            <w:tcW w:w="1669" w:type="dxa"/>
            <w:tcBorders>
              <w:bottom w:val="single" w:sz="4" w:space="0" w:color="auto"/>
            </w:tcBorders>
            <w:vAlign w:val="bottom"/>
          </w:tcPr>
          <w:p w:rsidR="009F6C19" w:rsidRPr="00A51F2C" w:rsidRDefault="009F6C19" w:rsidP="009F6C19">
            <w:pPr>
              <w:rPr>
                <w:rFonts w:ascii="Comic Sans MS" w:hAnsi="Comic Sans MS" w:cs="Arial"/>
                <w:sz w:val="20"/>
                <w:szCs w:val="20"/>
              </w:rPr>
            </w:pPr>
            <w:r w:rsidRPr="00A51F2C">
              <w:rPr>
                <w:rFonts w:ascii="Comic Sans MS" w:hAnsi="Comic Sans MS" w:cs="Arial"/>
                <w:sz w:val="20"/>
                <w:szCs w:val="20"/>
              </w:rPr>
              <w:t>Maths GDS</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36%</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17%</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sidRPr="006F7B1E">
              <w:rPr>
                <w:rFonts w:ascii="Comic Sans MS" w:hAnsi="Comic Sans MS" w:cs="Arial"/>
                <w:b/>
                <w:sz w:val="20"/>
                <w:szCs w:val="20"/>
              </w:rPr>
              <w:t>23%</w:t>
            </w:r>
          </w:p>
        </w:tc>
        <w:tc>
          <w:tcPr>
            <w:tcW w:w="938" w:type="dxa"/>
            <w:tcBorders>
              <w:bottom w:val="single" w:sz="4" w:space="0" w:color="auto"/>
            </w:tcBorders>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23%</w:t>
            </w:r>
          </w:p>
        </w:tc>
        <w:tc>
          <w:tcPr>
            <w:tcW w:w="1134" w:type="dxa"/>
            <w:tcBorders>
              <w:bottom w:val="single" w:sz="4" w:space="0" w:color="auto"/>
            </w:tcBorders>
            <w:shd w:val="clear" w:color="auto" w:fill="auto"/>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20%</w:t>
            </w:r>
          </w:p>
        </w:tc>
        <w:tc>
          <w:tcPr>
            <w:tcW w:w="919" w:type="dxa"/>
            <w:tcBorders>
              <w:bottom w:val="single" w:sz="4" w:space="0" w:color="auto"/>
            </w:tcBorders>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24%</w:t>
            </w:r>
          </w:p>
        </w:tc>
      </w:tr>
      <w:tr w:rsidR="009F6C19" w:rsidRPr="001E6629" w:rsidTr="009F6C19">
        <w:trPr>
          <w:trHeight w:val="434"/>
        </w:trPr>
        <w:tc>
          <w:tcPr>
            <w:tcW w:w="1669" w:type="dxa"/>
            <w:vAlign w:val="bottom"/>
          </w:tcPr>
          <w:p w:rsidR="009F6C19" w:rsidRPr="00A51F2C" w:rsidRDefault="009F6C19" w:rsidP="009F6C19">
            <w:pPr>
              <w:rPr>
                <w:rFonts w:ascii="Comic Sans MS" w:hAnsi="Comic Sans MS" w:cs="Arial"/>
                <w:sz w:val="20"/>
                <w:szCs w:val="20"/>
              </w:rPr>
            </w:pPr>
            <w:r w:rsidRPr="00A51F2C">
              <w:rPr>
                <w:rFonts w:ascii="Comic Sans MS" w:hAnsi="Comic Sans MS" w:cs="Arial"/>
                <w:sz w:val="20"/>
                <w:szCs w:val="20"/>
              </w:rPr>
              <w:t>Spelling &amp; Grammar EXS</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100%</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72%</w:t>
            </w:r>
          </w:p>
        </w:tc>
        <w:tc>
          <w:tcPr>
            <w:tcW w:w="1199" w:type="dxa"/>
            <w:shd w:val="clear" w:color="auto" w:fill="auto"/>
            <w:vAlign w:val="center"/>
          </w:tcPr>
          <w:p w:rsidR="009F6C19" w:rsidRPr="006F7B1E" w:rsidRDefault="009F6C19" w:rsidP="009F6C19">
            <w:pPr>
              <w:jc w:val="center"/>
              <w:rPr>
                <w:rFonts w:ascii="Comic Sans MS" w:hAnsi="Comic Sans MS" w:cs="Arial"/>
                <w:b/>
                <w:sz w:val="20"/>
                <w:szCs w:val="20"/>
              </w:rPr>
            </w:pPr>
            <w:r w:rsidRPr="006F7B1E">
              <w:rPr>
                <w:rFonts w:ascii="Comic Sans MS" w:hAnsi="Comic Sans MS" w:cs="Arial"/>
                <w:b/>
                <w:sz w:val="20"/>
                <w:szCs w:val="20"/>
              </w:rPr>
              <w:t>77%</w:t>
            </w:r>
          </w:p>
        </w:tc>
        <w:tc>
          <w:tcPr>
            <w:tcW w:w="938" w:type="dxa"/>
            <w:vAlign w:val="center"/>
          </w:tcPr>
          <w:p w:rsidR="009F6C19" w:rsidRDefault="009F6C19" w:rsidP="009F6C19">
            <w:pPr>
              <w:jc w:val="center"/>
              <w:rPr>
                <w:rFonts w:ascii="Comic Sans MS" w:hAnsi="Comic Sans MS" w:cs="Arial"/>
                <w:b/>
                <w:sz w:val="20"/>
                <w:szCs w:val="20"/>
              </w:rPr>
            </w:pPr>
            <w:r>
              <w:rPr>
                <w:rFonts w:ascii="Comic Sans MS" w:hAnsi="Comic Sans MS" w:cs="Arial"/>
                <w:b/>
                <w:sz w:val="20"/>
                <w:szCs w:val="20"/>
              </w:rPr>
              <w:t>77%</w:t>
            </w:r>
          </w:p>
        </w:tc>
        <w:tc>
          <w:tcPr>
            <w:tcW w:w="1134" w:type="dxa"/>
            <w:shd w:val="clear" w:color="auto" w:fill="auto"/>
            <w:vAlign w:val="center"/>
          </w:tcPr>
          <w:p w:rsidR="009F6C19" w:rsidRDefault="009F6C19" w:rsidP="009F6C19">
            <w:pPr>
              <w:jc w:val="center"/>
              <w:rPr>
                <w:rFonts w:ascii="Comic Sans MS" w:hAnsi="Comic Sans MS" w:cs="Arial"/>
                <w:b/>
                <w:sz w:val="20"/>
                <w:szCs w:val="20"/>
              </w:rPr>
            </w:pPr>
            <w:r>
              <w:rPr>
                <w:rFonts w:ascii="Comic Sans MS" w:hAnsi="Comic Sans MS" w:cs="Arial"/>
                <w:b/>
                <w:sz w:val="20"/>
                <w:szCs w:val="20"/>
              </w:rPr>
              <w:t>83%</w:t>
            </w:r>
          </w:p>
        </w:tc>
        <w:tc>
          <w:tcPr>
            <w:tcW w:w="919" w:type="dxa"/>
            <w:shd w:val="clear" w:color="auto" w:fill="auto"/>
            <w:vAlign w:val="center"/>
          </w:tcPr>
          <w:p w:rsidR="009F6C19" w:rsidRDefault="009F6C19" w:rsidP="009F6C19">
            <w:pPr>
              <w:jc w:val="center"/>
              <w:rPr>
                <w:rFonts w:ascii="Comic Sans MS" w:hAnsi="Comic Sans MS" w:cs="Arial"/>
                <w:b/>
                <w:sz w:val="20"/>
                <w:szCs w:val="20"/>
              </w:rPr>
            </w:pPr>
            <w:r>
              <w:rPr>
                <w:rFonts w:ascii="Comic Sans MS" w:hAnsi="Comic Sans MS" w:cs="Arial"/>
                <w:b/>
                <w:sz w:val="20"/>
                <w:szCs w:val="20"/>
              </w:rPr>
              <w:t>78%</w:t>
            </w:r>
          </w:p>
        </w:tc>
      </w:tr>
      <w:tr w:rsidR="009F6C19" w:rsidRPr="001E6629" w:rsidTr="009F6C19">
        <w:trPr>
          <w:trHeight w:val="434"/>
        </w:trPr>
        <w:tc>
          <w:tcPr>
            <w:tcW w:w="1669" w:type="dxa"/>
            <w:tcBorders>
              <w:bottom w:val="single" w:sz="4" w:space="0" w:color="auto"/>
            </w:tcBorders>
            <w:vAlign w:val="bottom"/>
          </w:tcPr>
          <w:p w:rsidR="009F6C19" w:rsidRPr="00A51F2C" w:rsidRDefault="009F6C19" w:rsidP="009F6C19">
            <w:pPr>
              <w:rPr>
                <w:rFonts w:ascii="Comic Sans MS" w:hAnsi="Comic Sans MS" w:cs="Arial"/>
                <w:sz w:val="20"/>
                <w:szCs w:val="20"/>
              </w:rPr>
            </w:pPr>
            <w:r w:rsidRPr="00A51F2C">
              <w:rPr>
                <w:rFonts w:ascii="Comic Sans MS" w:hAnsi="Comic Sans MS" w:cs="Arial"/>
                <w:sz w:val="20"/>
                <w:szCs w:val="20"/>
              </w:rPr>
              <w:t>Spelling &amp; Grammar GDS</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57%</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Pr>
                <w:rFonts w:ascii="Comic Sans MS" w:hAnsi="Comic Sans MS" w:cs="Arial"/>
                <w:b/>
                <w:sz w:val="20"/>
                <w:szCs w:val="20"/>
              </w:rPr>
              <w:t>23%</w:t>
            </w:r>
          </w:p>
        </w:tc>
        <w:tc>
          <w:tcPr>
            <w:tcW w:w="1199" w:type="dxa"/>
            <w:tcBorders>
              <w:bottom w:val="single" w:sz="4" w:space="0" w:color="auto"/>
            </w:tcBorders>
            <w:shd w:val="clear" w:color="auto" w:fill="auto"/>
            <w:vAlign w:val="center"/>
          </w:tcPr>
          <w:p w:rsidR="009F6C19" w:rsidRPr="006F7B1E" w:rsidRDefault="009F6C19" w:rsidP="009F6C19">
            <w:pPr>
              <w:jc w:val="center"/>
              <w:rPr>
                <w:rFonts w:ascii="Comic Sans MS" w:hAnsi="Comic Sans MS" w:cs="Arial"/>
                <w:b/>
                <w:sz w:val="20"/>
                <w:szCs w:val="20"/>
              </w:rPr>
            </w:pPr>
            <w:r w:rsidRPr="006F7B1E">
              <w:rPr>
                <w:rFonts w:ascii="Comic Sans MS" w:hAnsi="Comic Sans MS" w:cs="Arial"/>
                <w:b/>
                <w:sz w:val="20"/>
                <w:szCs w:val="20"/>
              </w:rPr>
              <w:t>42%</w:t>
            </w:r>
          </w:p>
        </w:tc>
        <w:tc>
          <w:tcPr>
            <w:tcW w:w="938" w:type="dxa"/>
            <w:tcBorders>
              <w:bottom w:val="single" w:sz="4" w:space="0" w:color="auto"/>
            </w:tcBorders>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31%</w:t>
            </w:r>
          </w:p>
        </w:tc>
        <w:tc>
          <w:tcPr>
            <w:tcW w:w="1134" w:type="dxa"/>
            <w:tcBorders>
              <w:bottom w:val="single" w:sz="4" w:space="0" w:color="auto"/>
            </w:tcBorders>
            <w:shd w:val="clear" w:color="auto" w:fill="auto"/>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33%</w:t>
            </w:r>
          </w:p>
        </w:tc>
        <w:tc>
          <w:tcPr>
            <w:tcW w:w="919" w:type="dxa"/>
            <w:tcBorders>
              <w:bottom w:val="single" w:sz="4" w:space="0" w:color="auto"/>
            </w:tcBorders>
            <w:shd w:val="clear" w:color="auto" w:fill="auto"/>
            <w:vAlign w:val="center"/>
          </w:tcPr>
          <w:p w:rsidR="009F6C19" w:rsidRPr="00A51F2C" w:rsidRDefault="009F6C19" w:rsidP="009F6C19">
            <w:pPr>
              <w:jc w:val="center"/>
              <w:rPr>
                <w:rFonts w:ascii="Comic Sans MS" w:hAnsi="Comic Sans MS" w:cs="Arial"/>
                <w:b/>
                <w:sz w:val="20"/>
                <w:szCs w:val="20"/>
              </w:rPr>
            </w:pPr>
            <w:r>
              <w:rPr>
                <w:rFonts w:ascii="Comic Sans MS" w:hAnsi="Comic Sans MS" w:cs="Arial"/>
                <w:b/>
                <w:sz w:val="20"/>
                <w:szCs w:val="20"/>
              </w:rPr>
              <w:t>34%</w:t>
            </w:r>
          </w:p>
        </w:tc>
      </w:tr>
    </w:tbl>
    <w:p w:rsidR="00426BD6" w:rsidRDefault="00426BD6" w:rsidP="004D5C2E"/>
    <w:p w:rsidR="009F6C19" w:rsidRDefault="009F6C19" w:rsidP="004D5C2E">
      <w:r>
        <w:t>Writing at the end of Key Stage 2 is teacher assessed. Teacher’s judgements are moderated to ensure consistency and accuracy of these judgements. In 2016, Holy Family was moderated. During the moderation process, the moderators themselves were quality assured by the Standards and Teaching Agency who observed the whole moderation process</w:t>
      </w:r>
      <w:r w:rsidR="003A2860">
        <w:t xml:space="preserve"> in our school</w:t>
      </w:r>
      <w:r>
        <w:t>.</w:t>
      </w:r>
      <w:r w:rsidR="008B56B1">
        <w:t xml:space="preserve">  Our teacher’s judgements of children’s attainment in writing </w:t>
      </w:r>
      <w:r w:rsidR="00024D46">
        <w:t>were</w:t>
      </w:r>
      <w:r w:rsidR="008B56B1">
        <w:t xml:space="preserve"> </w:t>
      </w:r>
      <w:r w:rsidR="003A2860">
        <w:t>upheld and we were commended</w:t>
      </w:r>
      <w:r w:rsidR="008B56B1">
        <w:t xml:space="preserve"> on the quality of writing across all subjects.</w:t>
      </w:r>
    </w:p>
    <w:p w:rsidR="009F6C19" w:rsidRDefault="009F6C19" w:rsidP="004D5C2E">
      <w:r>
        <w:t>The DFE recognise</w:t>
      </w:r>
      <w:r w:rsidR="008B56B1">
        <w:t>s</w:t>
      </w:r>
      <w:r>
        <w:t xml:space="preserve"> the fluctuating differences between cohorts and now consider</w:t>
      </w:r>
      <w:r w:rsidR="00024D46">
        <w:t>s</w:t>
      </w:r>
      <w:r>
        <w:t xml:space="preserve"> the aggregate percentage scores over a three year period as a more accurate view of a school’s performance.</w:t>
      </w:r>
    </w:p>
    <w:p w:rsidR="009F6C19" w:rsidRDefault="009F6C19" w:rsidP="004D5C2E">
      <w:r>
        <w:lastRenderedPageBreak/>
        <w:t>The following graph</w:t>
      </w:r>
      <w:r w:rsidR="003A2860">
        <w:t>s, published on the DFE website,</w:t>
      </w:r>
      <w:r>
        <w:t xml:space="preserve"> showing the attainment of children attending Holy Family over the past three years</w:t>
      </w:r>
      <w:r w:rsidR="00C85BE1">
        <w:t xml:space="preserve"> in Reading, Writing and Maths combined</w:t>
      </w:r>
      <w:r>
        <w:t xml:space="preserve"> can be seen as follows:</w:t>
      </w:r>
    </w:p>
    <w:p w:rsidR="009F6C19" w:rsidRDefault="009F6C19" w:rsidP="004D5C2E"/>
    <w:p w:rsidR="009F6C19" w:rsidRDefault="009F6C19" w:rsidP="004D5C2E">
      <w:r>
        <w:rPr>
          <w:noProof/>
          <w:lang w:eastAsia="en-GB"/>
        </w:rPr>
        <w:drawing>
          <wp:inline distT="0" distB="0" distL="0" distR="0">
            <wp:extent cx="6010275" cy="4139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17468" t="16533" r="19711" b="6500"/>
                    <a:stretch/>
                  </pic:blipFill>
                  <pic:spPr bwMode="auto">
                    <a:xfrm>
                      <a:off x="0" y="0"/>
                      <a:ext cx="6014325" cy="41425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6C19" w:rsidRDefault="009F6C19" w:rsidP="004D5C2E"/>
    <w:p w:rsidR="009F6C19" w:rsidRDefault="009F6C19" w:rsidP="004D5C2E">
      <w:r>
        <w:rPr>
          <w:noProof/>
          <w:lang w:eastAsia="en-GB"/>
        </w:rPr>
        <w:drawing>
          <wp:inline distT="0" distB="0" distL="0" distR="0">
            <wp:extent cx="6249003"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19551" t="15393" r="22116" b="12486"/>
                    <a:stretch/>
                  </pic:blipFill>
                  <pic:spPr bwMode="auto">
                    <a:xfrm>
                      <a:off x="0" y="0"/>
                      <a:ext cx="6249003" cy="4343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92A39" w:rsidRDefault="002E47DA" w:rsidP="004D5C2E">
      <w:r>
        <w:lastRenderedPageBreak/>
        <w:t>I would like to take the opportunity to thank al</w:t>
      </w:r>
      <w:r w:rsidR="00A92A39">
        <w:t xml:space="preserve">l the staff </w:t>
      </w:r>
      <w:r w:rsidR="003A2860">
        <w:t xml:space="preserve">at Holy Family </w:t>
      </w:r>
      <w:r w:rsidR="00A92A39">
        <w:t>for their</w:t>
      </w:r>
      <w:r>
        <w:t xml:space="preserve"> diligence and dedication in ensuring our high standards are maintained. We continually look to improve our outcomes even further and appreciate all the support given by our parents.</w:t>
      </w:r>
    </w:p>
    <w:p w:rsidR="003A2860" w:rsidRDefault="003A2860" w:rsidP="004D5C2E"/>
    <w:p w:rsidR="003A2860" w:rsidRDefault="003A2860" w:rsidP="004D5C2E"/>
    <w:p w:rsidR="003A2860" w:rsidRPr="0026526C" w:rsidRDefault="003A2860" w:rsidP="004D5C2E"/>
    <w:sectPr w:rsidR="003A2860" w:rsidRPr="0026526C" w:rsidSect="009F6C19">
      <w:pgSz w:w="11906" w:h="16838"/>
      <w:pgMar w:top="851"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5D" w:rsidRDefault="00AF305D" w:rsidP="009F6C19">
      <w:pPr>
        <w:spacing w:line="240" w:lineRule="auto"/>
      </w:pPr>
      <w:r>
        <w:separator/>
      </w:r>
    </w:p>
  </w:endnote>
  <w:endnote w:type="continuationSeparator" w:id="0">
    <w:p w:rsidR="00AF305D" w:rsidRDefault="00AF305D" w:rsidP="009F6C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5D" w:rsidRDefault="00AF305D" w:rsidP="009F6C19">
      <w:pPr>
        <w:spacing w:line="240" w:lineRule="auto"/>
      </w:pPr>
      <w:r>
        <w:separator/>
      </w:r>
    </w:p>
  </w:footnote>
  <w:footnote w:type="continuationSeparator" w:id="0">
    <w:p w:rsidR="00AF305D" w:rsidRDefault="00AF305D" w:rsidP="009F6C1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5C2E"/>
    <w:rsid w:val="00004703"/>
    <w:rsid w:val="00024D46"/>
    <w:rsid w:val="00031DF2"/>
    <w:rsid w:val="00041732"/>
    <w:rsid w:val="00136D7F"/>
    <w:rsid w:val="00264D06"/>
    <w:rsid w:val="0026526C"/>
    <w:rsid w:val="002E47DA"/>
    <w:rsid w:val="003A2860"/>
    <w:rsid w:val="00426BD6"/>
    <w:rsid w:val="00440E17"/>
    <w:rsid w:val="004531C1"/>
    <w:rsid w:val="004D5C2E"/>
    <w:rsid w:val="004F5FAD"/>
    <w:rsid w:val="005437BA"/>
    <w:rsid w:val="006D6BA6"/>
    <w:rsid w:val="006F7B1E"/>
    <w:rsid w:val="0085263D"/>
    <w:rsid w:val="00875AEF"/>
    <w:rsid w:val="008B56B1"/>
    <w:rsid w:val="008D1392"/>
    <w:rsid w:val="00924A50"/>
    <w:rsid w:val="009F6C19"/>
    <w:rsid w:val="00A2702F"/>
    <w:rsid w:val="00A92A39"/>
    <w:rsid w:val="00AD2FCE"/>
    <w:rsid w:val="00AF305D"/>
    <w:rsid w:val="00C117C9"/>
    <w:rsid w:val="00C72B49"/>
    <w:rsid w:val="00C85BE1"/>
    <w:rsid w:val="00C9364D"/>
    <w:rsid w:val="00D912E4"/>
    <w:rsid w:val="00D936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19"/>
    <w:rPr>
      <w:rFonts w:ascii="Tahoma" w:hAnsi="Tahoma" w:cs="Tahoma"/>
      <w:sz w:val="16"/>
      <w:szCs w:val="16"/>
    </w:rPr>
  </w:style>
  <w:style w:type="paragraph" w:styleId="Header">
    <w:name w:val="header"/>
    <w:basedOn w:val="Normal"/>
    <w:link w:val="HeaderChar"/>
    <w:uiPriority w:val="99"/>
    <w:unhideWhenUsed/>
    <w:rsid w:val="009F6C19"/>
    <w:pPr>
      <w:tabs>
        <w:tab w:val="center" w:pos="4513"/>
        <w:tab w:val="right" w:pos="9026"/>
      </w:tabs>
      <w:spacing w:line="240" w:lineRule="auto"/>
    </w:pPr>
  </w:style>
  <w:style w:type="character" w:customStyle="1" w:styleId="HeaderChar">
    <w:name w:val="Header Char"/>
    <w:basedOn w:val="DefaultParagraphFont"/>
    <w:link w:val="Header"/>
    <w:uiPriority w:val="99"/>
    <w:rsid w:val="009F6C19"/>
  </w:style>
  <w:style w:type="paragraph" w:styleId="Footer">
    <w:name w:val="footer"/>
    <w:basedOn w:val="Normal"/>
    <w:link w:val="FooterChar"/>
    <w:uiPriority w:val="99"/>
    <w:unhideWhenUsed/>
    <w:rsid w:val="009F6C19"/>
    <w:pPr>
      <w:tabs>
        <w:tab w:val="center" w:pos="4513"/>
        <w:tab w:val="right" w:pos="9026"/>
      </w:tabs>
      <w:spacing w:line="240" w:lineRule="auto"/>
    </w:pPr>
  </w:style>
  <w:style w:type="character" w:customStyle="1" w:styleId="FooterChar">
    <w:name w:val="Footer Char"/>
    <w:basedOn w:val="DefaultParagraphFont"/>
    <w:link w:val="Footer"/>
    <w:uiPriority w:val="99"/>
    <w:rsid w:val="009F6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19"/>
    <w:rPr>
      <w:rFonts w:ascii="Tahoma" w:hAnsi="Tahoma" w:cs="Tahoma"/>
      <w:sz w:val="16"/>
      <w:szCs w:val="16"/>
    </w:rPr>
  </w:style>
  <w:style w:type="paragraph" w:styleId="Header">
    <w:name w:val="header"/>
    <w:basedOn w:val="Normal"/>
    <w:link w:val="HeaderChar"/>
    <w:uiPriority w:val="99"/>
    <w:unhideWhenUsed/>
    <w:rsid w:val="009F6C19"/>
    <w:pPr>
      <w:tabs>
        <w:tab w:val="center" w:pos="4513"/>
        <w:tab w:val="right" w:pos="9026"/>
      </w:tabs>
      <w:spacing w:line="240" w:lineRule="auto"/>
    </w:pPr>
  </w:style>
  <w:style w:type="character" w:customStyle="1" w:styleId="HeaderChar">
    <w:name w:val="Header Char"/>
    <w:basedOn w:val="DefaultParagraphFont"/>
    <w:link w:val="Header"/>
    <w:uiPriority w:val="99"/>
    <w:rsid w:val="009F6C19"/>
  </w:style>
  <w:style w:type="paragraph" w:styleId="Footer">
    <w:name w:val="footer"/>
    <w:basedOn w:val="Normal"/>
    <w:link w:val="FooterChar"/>
    <w:uiPriority w:val="99"/>
    <w:unhideWhenUsed/>
    <w:rsid w:val="009F6C19"/>
    <w:pPr>
      <w:tabs>
        <w:tab w:val="center" w:pos="4513"/>
        <w:tab w:val="right" w:pos="9026"/>
      </w:tabs>
      <w:spacing w:line="240" w:lineRule="auto"/>
    </w:pPr>
  </w:style>
  <w:style w:type="character" w:customStyle="1" w:styleId="FooterChar">
    <w:name w:val="Footer Char"/>
    <w:basedOn w:val="DefaultParagraphFont"/>
    <w:link w:val="Footer"/>
    <w:uiPriority w:val="99"/>
    <w:rsid w:val="009F6C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Cook-Hannah, Janette</dc:creator>
  <cp:lastModifiedBy>User</cp:lastModifiedBy>
  <cp:revision>2</cp:revision>
  <cp:lastPrinted>2019-04-09T09:59:00Z</cp:lastPrinted>
  <dcterms:created xsi:type="dcterms:W3CDTF">2019-04-09T12:36:00Z</dcterms:created>
  <dcterms:modified xsi:type="dcterms:W3CDTF">2019-04-09T12:36:00Z</dcterms:modified>
</cp:coreProperties>
</file>